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18229" w14:textId="7273D709" w:rsidR="00711E9F" w:rsidRPr="000D7B90" w:rsidRDefault="00711E9F" w:rsidP="000D7B90">
      <w:pPr>
        <w:jc w:val="both"/>
        <w:rPr>
          <w:rFonts w:asciiTheme="minorHAnsi" w:hAnsiTheme="minorHAnsi" w:cstheme="minorHAnsi"/>
          <w:b/>
          <w:bCs/>
          <w:sz w:val="22"/>
          <w:szCs w:val="22"/>
        </w:rPr>
      </w:pPr>
      <w:r w:rsidRPr="000D7B90">
        <w:rPr>
          <w:rFonts w:asciiTheme="minorHAnsi" w:hAnsiTheme="minorHAnsi" w:cstheme="minorHAnsi"/>
          <w:b/>
          <w:bCs/>
          <w:sz w:val="22"/>
          <w:szCs w:val="22"/>
        </w:rPr>
        <w:t xml:space="preserve">Neuberger Berman Sustainable Emerging Markets Debt Hard Currency Fund </w:t>
      </w:r>
    </w:p>
    <w:p w14:paraId="57E3C0C2" w14:textId="77777777" w:rsidR="00711E9F" w:rsidRPr="000D7B90" w:rsidRDefault="00711E9F" w:rsidP="000D7B90">
      <w:pPr>
        <w:jc w:val="both"/>
        <w:rPr>
          <w:rFonts w:asciiTheme="minorHAnsi" w:hAnsiTheme="minorHAnsi" w:cstheme="minorHAnsi"/>
          <w:sz w:val="22"/>
          <w:szCs w:val="22"/>
        </w:rPr>
      </w:pPr>
    </w:p>
    <w:p w14:paraId="4079039F" w14:textId="231F1AB9" w:rsidR="00971E5A" w:rsidRPr="000D7B90" w:rsidRDefault="00E71810" w:rsidP="000D7B90">
      <w:pPr>
        <w:jc w:val="both"/>
        <w:rPr>
          <w:rFonts w:asciiTheme="minorHAnsi" w:hAnsiTheme="minorHAnsi" w:cstheme="minorHAnsi"/>
          <w:sz w:val="22"/>
          <w:szCs w:val="22"/>
        </w:rPr>
      </w:pPr>
      <w:r w:rsidRPr="000D7B90">
        <w:rPr>
          <w:rFonts w:asciiTheme="minorHAnsi" w:hAnsiTheme="minorHAnsi" w:cstheme="minorHAnsi"/>
          <w:sz w:val="22"/>
          <w:szCs w:val="22"/>
        </w:rPr>
        <w:t xml:space="preserve">Neuberger Berman’s Emerging Markets Debt (EMD) team is part of our broad fixed income platform and shares core tenets of our fixed income franchise: experience, a research-focused approach, multiple alpha </w:t>
      </w:r>
      <w:proofErr w:type="gramStart"/>
      <w:r w:rsidRPr="000D7B90">
        <w:rPr>
          <w:rFonts w:asciiTheme="minorHAnsi" w:hAnsiTheme="minorHAnsi" w:cstheme="minorHAnsi"/>
          <w:sz w:val="22"/>
          <w:szCs w:val="22"/>
        </w:rPr>
        <w:t>sources</w:t>
      </w:r>
      <w:proofErr w:type="gramEnd"/>
      <w:r w:rsidRPr="000D7B90">
        <w:rPr>
          <w:rFonts w:asciiTheme="minorHAnsi" w:hAnsiTheme="minorHAnsi" w:cstheme="minorHAnsi"/>
          <w:sz w:val="22"/>
          <w:szCs w:val="22"/>
        </w:rPr>
        <w:t xml:space="preserve"> and controlled risk. </w:t>
      </w:r>
      <w:r w:rsidR="00971E5A" w:rsidRPr="000D7B90">
        <w:rPr>
          <w:rFonts w:asciiTheme="minorHAnsi" w:hAnsiTheme="minorHAnsi" w:cstheme="minorHAnsi"/>
          <w:sz w:val="22"/>
          <w:szCs w:val="22"/>
        </w:rPr>
        <w:t>Our team believe</w:t>
      </w:r>
      <w:r w:rsidR="00971E5A" w:rsidRPr="000D7B90">
        <w:rPr>
          <w:rFonts w:asciiTheme="minorHAnsi" w:hAnsiTheme="minorHAnsi" w:cstheme="minorHAnsi"/>
          <w:sz w:val="22"/>
          <w:szCs w:val="22"/>
        </w:rPr>
        <w:t>s</w:t>
      </w:r>
      <w:r w:rsidR="00971E5A" w:rsidRPr="000D7B90">
        <w:rPr>
          <w:rFonts w:asciiTheme="minorHAnsi" w:hAnsiTheme="minorHAnsi" w:cstheme="minorHAnsi"/>
          <w:sz w:val="22"/>
          <w:szCs w:val="22"/>
        </w:rPr>
        <w:t xml:space="preserve"> that environmental, social and governance (ESG) factors can impact the long-term performance of a company. Furthermore, Neuberger Berman is a signatory to the PRI and is committed to enhancing and refining the approach to ESG investing for each industry.</w:t>
      </w:r>
    </w:p>
    <w:p w14:paraId="71FAB402" w14:textId="77777777" w:rsidR="00971E5A" w:rsidRPr="000D7B90" w:rsidRDefault="00971E5A" w:rsidP="000D7B90">
      <w:pPr>
        <w:jc w:val="both"/>
        <w:rPr>
          <w:rFonts w:asciiTheme="minorHAnsi" w:hAnsiTheme="minorHAnsi" w:cstheme="minorHAnsi"/>
          <w:sz w:val="22"/>
          <w:szCs w:val="22"/>
        </w:rPr>
      </w:pPr>
    </w:p>
    <w:p w14:paraId="51E43EC4" w14:textId="77777777" w:rsidR="000D7B90" w:rsidRPr="000D7B90" w:rsidRDefault="00133F82" w:rsidP="000D7B90">
      <w:pPr>
        <w:jc w:val="both"/>
        <w:rPr>
          <w:rFonts w:asciiTheme="minorHAnsi" w:hAnsiTheme="minorHAnsi" w:cstheme="minorHAnsi"/>
          <w:sz w:val="22"/>
          <w:szCs w:val="22"/>
        </w:rPr>
      </w:pPr>
      <w:r w:rsidRPr="000D7B90">
        <w:rPr>
          <w:rFonts w:asciiTheme="minorHAnsi" w:hAnsiTheme="minorHAnsi" w:cstheme="minorHAnsi"/>
          <w:sz w:val="22"/>
          <w:szCs w:val="22"/>
        </w:rPr>
        <w:t>At the beginning of 2022 we introduced two new</w:t>
      </w:r>
      <w:r w:rsidR="00711E9F" w:rsidRPr="000D7B90">
        <w:rPr>
          <w:rFonts w:asciiTheme="minorHAnsi" w:hAnsiTheme="minorHAnsi" w:cstheme="minorHAnsi"/>
          <w:sz w:val="22"/>
          <w:szCs w:val="22"/>
        </w:rPr>
        <w:t xml:space="preserve"> EMD</w:t>
      </w:r>
      <w:r w:rsidRPr="000D7B90">
        <w:rPr>
          <w:rFonts w:asciiTheme="minorHAnsi" w:hAnsiTheme="minorHAnsi" w:cstheme="minorHAnsi"/>
          <w:sz w:val="22"/>
          <w:szCs w:val="22"/>
        </w:rPr>
        <w:t xml:space="preserve"> funds, further broadening our offerings in this space. </w:t>
      </w:r>
      <w:r w:rsidR="00971E5A" w:rsidRPr="000D7B90">
        <w:rPr>
          <w:rFonts w:asciiTheme="minorHAnsi" w:hAnsiTheme="minorHAnsi" w:cstheme="minorHAnsi"/>
          <w:sz w:val="22"/>
          <w:szCs w:val="22"/>
        </w:rPr>
        <w:t>One of these was t</w:t>
      </w:r>
      <w:r w:rsidRPr="000D7B90">
        <w:rPr>
          <w:rFonts w:asciiTheme="minorHAnsi" w:hAnsiTheme="minorHAnsi" w:cstheme="minorHAnsi"/>
          <w:sz w:val="22"/>
          <w:szCs w:val="22"/>
        </w:rPr>
        <w:t>he Neuberger Berman Sustainable Emerging Markets Debt Hard Currency Fund</w:t>
      </w:r>
      <w:r w:rsidR="00971E5A" w:rsidRPr="000D7B90">
        <w:rPr>
          <w:rFonts w:asciiTheme="minorHAnsi" w:hAnsiTheme="minorHAnsi" w:cstheme="minorHAnsi"/>
          <w:sz w:val="22"/>
          <w:szCs w:val="22"/>
        </w:rPr>
        <w:t>, which</w:t>
      </w:r>
      <w:r w:rsidRPr="000D7B90">
        <w:rPr>
          <w:rFonts w:asciiTheme="minorHAnsi" w:hAnsiTheme="minorHAnsi" w:cstheme="minorHAnsi"/>
          <w:sz w:val="22"/>
          <w:szCs w:val="22"/>
        </w:rPr>
        <w:t xml:space="preserve"> offers investors access to a diversified set of EMD sovereign and corporate bonds issued in major currencies with a strong ESG focus. The Fund’s sustainability approach is primarily focused on climate transition risks and progress towards achieving the United Nations Sustainable Development Goals (SDGs). </w:t>
      </w:r>
    </w:p>
    <w:p w14:paraId="4D1B0313" w14:textId="77777777" w:rsidR="000D7B90" w:rsidRPr="000D7B90" w:rsidRDefault="000D7B90" w:rsidP="000D7B90">
      <w:pPr>
        <w:jc w:val="both"/>
        <w:rPr>
          <w:rFonts w:asciiTheme="minorHAnsi" w:hAnsiTheme="minorHAnsi" w:cstheme="minorHAnsi"/>
          <w:sz w:val="22"/>
          <w:szCs w:val="22"/>
        </w:rPr>
      </w:pPr>
    </w:p>
    <w:p w14:paraId="1D4D0F67" w14:textId="3C48BA2C" w:rsidR="00133F82" w:rsidRPr="000D7B90" w:rsidRDefault="00133F82" w:rsidP="000D7B90">
      <w:pPr>
        <w:jc w:val="both"/>
        <w:rPr>
          <w:rFonts w:asciiTheme="minorHAnsi" w:hAnsiTheme="minorHAnsi" w:cstheme="minorHAnsi"/>
          <w:sz w:val="22"/>
          <w:szCs w:val="22"/>
        </w:rPr>
      </w:pPr>
      <w:r w:rsidRPr="000D7B90">
        <w:rPr>
          <w:rFonts w:asciiTheme="minorHAnsi" w:hAnsiTheme="minorHAnsi" w:cstheme="minorHAnsi"/>
          <w:sz w:val="22"/>
          <w:szCs w:val="22"/>
        </w:rPr>
        <w:t>We believe sustainable investing all too often stops at the border to the emerging world. We believe EMD investors have an important role in promoting sustainability, as emerging countries contain about 80% of the world’s population, contribute towards 60% of its GDP and generate two-thirds of its carbon emissions.</w:t>
      </w:r>
    </w:p>
    <w:p w14:paraId="3DB8A624" w14:textId="42C164F5" w:rsidR="00DE0B89" w:rsidRPr="000D7B90" w:rsidRDefault="00DE0B89" w:rsidP="000D7B90">
      <w:pPr>
        <w:rPr>
          <w:rFonts w:asciiTheme="minorHAnsi" w:hAnsiTheme="minorHAnsi" w:cstheme="minorHAnsi"/>
          <w:sz w:val="22"/>
          <w:szCs w:val="22"/>
        </w:rPr>
      </w:pPr>
    </w:p>
    <w:p w14:paraId="2134C6EE" w14:textId="78A40515" w:rsidR="00133F82" w:rsidRPr="000D7B90" w:rsidRDefault="00133F82" w:rsidP="000D7B90">
      <w:pPr>
        <w:jc w:val="both"/>
        <w:rPr>
          <w:rFonts w:asciiTheme="minorHAnsi" w:hAnsiTheme="minorHAnsi" w:cstheme="minorHAnsi"/>
          <w:sz w:val="22"/>
          <w:szCs w:val="22"/>
        </w:rPr>
      </w:pPr>
      <w:r w:rsidRPr="000D7B90">
        <w:rPr>
          <w:rFonts w:asciiTheme="minorHAnsi" w:hAnsiTheme="minorHAnsi" w:cstheme="minorHAnsi"/>
          <w:sz w:val="22"/>
          <w:szCs w:val="22"/>
        </w:rPr>
        <w:t xml:space="preserve">One of our strengths is our global multi-site team setup. Our team covers the global emerging markets from bases in the three major time zones: EMEA is covered out of The Hague, Latin America is covered out of Atlanta, and Asia is covered out of Singapore with additional mainland China coverage from Shanghai. This maximizes regional information access and better liquidity conditions found in major markets such as Hong Kong, Singapore, </w:t>
      </w:r>
      <w:proofErr w:type="gramStart"/>
      <w:r w:rsidRPr="000D7B90">
        <w:rPr>
          <w:rFonts w:asciiTheme="minorHAnsi" w:hAnsiTheme="minorHAnsi" w:cstheme="minorHAnsi"/>
          <w:sz w:val="22"/>
          <w:szCs w:val="22"/>
        </w:rPr>
        <w:t>London</w:t>
      </w:r>
      <w:proofErr w:type="gramEnd"/>
      <w:r w:rsidRPr="000D7B90">
        <w:rPr>
          <w:rFonts w:asciiTheme="minorHAnsi" w:hAnsiTheme="minorHAnsi" w:cstheme="minorHAnsi"/>
          <w:sz w:val="22"/>
          <w:szCs w:val="22"/>
        </w:rPr>
        <w:t xml:space="preserve"> and New York during local peak hours.  </w:t>
      </w:r>
    </w:p>
    <w:p w14:paraId="4EA2584C" w14:textId="77777777" w:rsidR="00133F82" w:rsidRPr="000D7B90" w:rsidRDefault="00133F82" w:rsidP="000D7B90">
      <w:pPr>
        <w:jc w:val="both"/>
        <w:rPr>
          <w:rFonts w:asciiTheme="minorHAnsi" w:hAnsiTheme="minorHAnsi" w:cstheme="minorHAnsi"/>
          <w:sz w:val="22"/>
          <w:szCs w:val="22"/>
        </w:rPr>
      </w:pPr>
    </w:p>
    <w:p w14:paraId="452236F2" w14:textId="77777777" w:rsidR="00133F82" w:rsidRPr="000D7B90" w:rsidRDefault="00133F82" w:rsidP="000D7B90">
      <w:pPr>
        <w:jc w:val="both"/>
        <w:rPr>
          <w:rFonts w:asciiTheme="minorHAnsi" w:hAnsiTheme="minorHAnsi" w:cstheme="minorHAnsi"/>
          <w:sz w:val="22"/>
          <w:szCs w:val="22"/>
        </w:rPr>
      </w:pPr>
      <w:r w:rsidRPr="000D7B90">
        <w:rPr>
          <w:rFonts w:asciiTheme="minorHAnsi" w:hAnsiTheme="minorHAnsi" w:cstheme="minorHAnsi"/>
          <w:sz w:val="22"/>
          <w:szCs w:val="22"/>
        </w:rPr>
        <w:t xml:space="preserve">Our EMD team are pioneers </w:t>
      </w:r>
      <w:proofErr w:type="gramStart"/>
      <w:r w:rsidRPr="000D7B90">
        <w:rPr>
          <w:rFonts w:asciiTheme="minorHAnsi" w:hAnsiTheme="minorHAnsi" w:cstheme="minorHAnsi"/>
          <w:sz w:val="22"/>
          <w:szCs w:val="22"/>
        </w:rPr>
        <w:t>in their own right within</w:t>
      </w:r>
      <w:proofErr w:type="gramEnd"/>
      <w:r w:rsidRPr="000D7B90">
        <w:rPr>
          <w:rFonts w:asciiTheme="minorHAnsi" w:hAnsiTheme="minorHAnsi" w:cstheme="minorHAnsi"/>
          <w:sz w:val="22"/>
          <w:szCs w:val="22"/>
        </w:rPr>
        <w:t xml:space="preserve"> ESG investing, with ESG factors integral to our investment process. In addition to embedding ESG factors into our country analysis, we employ exclusions of companies involved in controversial weapons, child labour and the tobacco industry across </w:t>
      </w:r>
      <w:proofErr w:type="gramStart"/>
      <w:r w:rsidRPr="000D7B90">
        <w:rPr>
          <w:rFonts w:asciiTheme="minorHAnsi" w:hAnsiTheme="minorHAnsi" w:cstheme="minorHAnsi"/>
          <w:sz w:val="22"/>
          <w:szCs w:val="22"/>
        </w:rPr>
        <w:t>all of</w:t>
      </w:r>
      <w:proofErr w:type="gramEnd"/>
      <w:r w:rsidRPr="000D7B90">
        <w:rPr>
          <w:rFonts w:asciiTheme="minorHAnsi" w:hAnsiTheme="minorHAnsi" w:cstheme="minorHAnsi"/>
          <w:sz w:val="22"/>
          <w:szCs w:val="22"/>
        </w:rPr>
        <w:t xml:space="preserve"> our EMD strategies. ESG factors represent 40% of the country scoring model used in our sovereign analysis. Our experience in sovereigns has helped us to develop the insights and tools needed to extend ESG research into corporates. We continue to make progress in engaging with companies, raising ESG concerns, discussing and proposing solutions to their management.</w:t>
      </w:r>
    </w:p>
    <w:p w14:paraId="4DAB0FFA" w14:textId="7ACC88E3" w:rsidR="00133F82" w:rsidRPr="000D7B90" w:rsidRDefault="00133F82" w:rsidP="000D7B90">
      <w:pPr>
        <w:jc w:val="both"/>
        <w:rPr>
          <w:rFonts w:asciiTheme="minorHAnsi" w:hAnsiTheme="minorHAnsi" w:cstheme="minorHAnsi"/>
          <w:sz w:val="22"/>
          <w:szCs w:val="22"/>
        </w:rPr>
      </w:pPr>
    </w:p>
    <w:p w14:paraId="5667A999" w14:textId="77777777" w:rsidR="00711E9F" w:rsidRPr="000D7B90" w:rsidRDefault="00711E9F" w:rsidP="000D7B90">
      <w:pPr>
        <w:rPr>
          <w:rFonts w:asciiTheme="minorHAnsi" w:hAnsiTheme="minorHAnsi" w:cstheme="minorHAnsi"/>
          <w:i/>
          <w:iCs/>
          <w:sz w:val="22"/>
          <w:szCs w:val="22"/>
        </w:rPr>
      </w:pPr>
      <w:r w:rsidRPr="000D7B90">
        <w:rPr>
          <w:rFonts w:asciiTheme="minorHAnsi" w:hAnsiTheme="minorHAnsi" w:cstheme="minorHAnsi"/>
          <w:i/>
          <w:iCs/>
          <w:sz w:val="22"/>
          <w:szCs w:val="22"/>
        </w:rPr>
        <w:t xml:space="preserve">This document has been prepared for the purpose of the ESG Investing Awards. Not for further distribution. Sources: All Neuberger Berman as </w:t>
      </w:r>
      <w:proofErr w:type="gramStart"/>
      <w:r w:rsidRPr="000D7B90">
        <w:rPr>
          <w:rFonts w:asciiTheme="minorHAnsi" w:hAnsiTheme="minorHAnsi" w:cstheme="minorHAnsi"/>
          <w:i/>
          <w:iCs/>
          <w:sz w:val="22"/>
          <w:szCs w:val="22"/>
        </w:rPr>
        <w:t>at</w:t>
      </w:r>
      <w:proofErr w:type="gramEnd"/>
      <w:r w:rsidRPr="000D7B90">
        <w:rPr>
          <w:rFonts w:asciiTheme="minorHAnsi" w:hAnsiTheme="minorHAnsi" w:cstheme="minorHAnsi"/>
          <w:i/>
          <w:iCs/>
          <w:sz w:val="22"/>
          <w:szCs w:val="22"/>
        </w:rPr>
        <w:t xml:space="preserve"> 30 June 2022 unless otherwise stated. </w:t>
      </w:r>
      <w:r w:rsidRPr="000D7B90">
        <w:rPr>
          <w:rFonts w:asciiTheme="minorHAnsi" w:hAnsiTheme="minorHAnsi" w:cstheme="minorHAnsi"/>
          <w:i/>
          <w:iCs/>
          <w:spacing w:val="2"/>
          <w:sz w:val="22"/>
          <w:szCs w:val="22"/>
        </w:rPr>
        <w:t xml:space="preserve">Performance data quoted represent </w:t>
      </w:r>
      <w:r w:rsidRPr="000D7B90">
        <w:rPr>
          <w:rFonts w:asciiTheme="minorHAnsi" w:hAnsiTheme="minorHAnsi" w:cstheme="minorHAnsi"/>
          <w:i/>
          <w:iCs/>
          <w:sz w:val="22"/>
          <w:szCs w:val="22"/>
        </w:rPr>
        <w:t xml:space="preserve">past </w:t>
      </w:r>
      <w:r w:rsidRPr="000D7B90">
        <w:rPr>
          <w:rFonts w:asciiTheme="minorHAnsi" w:hAnsiTheme="minorHAnsi" w:cstheme="minorHAnsi"/>
          <w:i/>
          <w:iCs/>
          <w:spacing w:val="2"/>
          <w:sz w:val="22"/>
          <w:szCs w:val="22"/>
        </w:rPr>
        <w:t xml:space="preserve">performance, </w:t>
      </w:r>
      <w:r w:rsidRPr="000D7B90">
        <w:rPr>
          <w:rFonts w:asciiTheme="minorHAnsi" w:hAnsiTheme="minorHAnsi" w:cstheme="minorHAnsi"/>
          <w:i/>
          <w:iCs/>
          <w:sz w:val="22"/>
          <w:szCs w:val="22"/>
        </w:rPr>
        <w:t xml:space="preserve">which is no </w:t>
      </w:r>
      <w:r w:rsidRPr="000D7B90">
        <w:rPr>
          <w:rFonts w:asciiTheme="minorHAnsi" w:hAnsiTheme="minorHAnsi" w:cstheme="minorHAnsi"/>
          <w:i/>
          <w:iCs/>
          <w:spacing w:val="2"/>
          <w:sz w:val="22"/>
          <w:szCs w:val="22"/>
        </w:rPr>
        <w:t xml:space="preserve">guarantee </w:t>
      </w:r>
      <w:r w:rsidRPr="000D7B90">
        <w:rPr>
          <w:rFonts w:asciiTheme="minorHAnsi" w:hAnsiTheme="minorHAnsi" w:cstheme="minorHAnsi"/>
          <w:i/>
          <w:iCs/>
          <w:sz w:val="22"/>
          <w:szCs w:val="22"/>
        </w:rPr>
        <w:t xml:space="preserve">of </w:t>
      </w:r>
      <w:r w:rsidRPr="000D7B90">
        <w:rPr>
          <w:rFonts w:asciiTheme="minorHAnsi" w:hAnsiTheme="minorHAnsi" w:cstheme="minorHAnsi"/>
          <w:i/>
          <w:iCs/>
          <w:spacing w:val="2"/>
          <w:sz w:val="22"/>
          <w:szCs w:val="22"/>
        </w:rPr>
        <w:t>future</w:t>
      </w:r>
      <w:r w:rsidRPr="000D7B90">
        <w:rPr>
          <w:rFonts w:asciiTheme="minorHAnsi" w:hAnsiTheme="minorHAnsi" w:cstheme="minorHAnsi"/>
          <w:i/>
          <w:iCs/>
          <w:spacing w:val="-6"/>
          <w:sz w:val="22"/>
          <w:szCs w:val="22"/>
        </w:rPr>
        <w:t xml:space="preserve"> </w:t>
      </w:r>
      <w:r w:rsidRPr="000D7B90">
        <w:rPr>
          <w:rFonts w:asciiTheme="minorHAnsi" w:hAnsiTheme="minorHAnsi" w:cstheme="minorHAnsi"/>
          <w:i/>
          <w:iCs/>
          <w:spacing w:val="2"/>
          <w:sz w:val="22"/>
          <w:szCs w:val="22"/>
        </w:rPr>
        <w:t xml:space="preserve">results. </w:t>
      </w:r>
      <w:r w:rsidRPr="000D7B90">
        <w:rPr>
          <w:rStyle w:val="A14"/>
          <w:rFonts w:asciiTheme="minorHAnsi" w:hAnsiTheme="minorHAnsi" w:cstheme="minorHAnsi"/>
          <w:i/>
          <w:iCs/>
          <w:sz w:val="22"/>
          <w:szCs w:val="22"/>
        </w:rPr>
        <w:t xml:space="preserve">The value of investments may go down as well as up and investors may not get back any of the amount invested. An investment in this product involves risks, with the potential for above-average risk, and is only suitable for people who are </w:t>
      </w:r>
      <w:proofErr w:type="gramStart"/>
      <w:r w:rsidRPr="000D7B90">
        <w:rPr>
          <w:rStyle w:val="A14"/>
          <w:rFonts w:asciiTheme="minorHAnsi" w:hAnsiTheme="minorHAnsi" w:cstheme="minorHAnsi"/>
          <w:i/>
          <w:iCs/>
          <w:sz w:val="22"/>
          <w:szCs w:val="22"/>
        </w:rPr>
        <w:t>in a position</w:t>
      </w:r>
      <w:proofErr w:type="gramEnd"/>
      <w:r w:rsidRPr="000D7B90">
        <w:rPr>
          <w:rStyle w:val="A14"/>
          <w:rFonts w:asciiTheme="minorHAnsi" w:hAnsiTheme="minorHAnsi" w:cstheme="minorHAnsi"/>
          <w:i/>
          <w:iCs/>
          <w:sz w:val="22"/>
          <w:szCs w:val="22"/>
        </w:rPr>
        <w:t xml:space="preserve"> to take such risks. </w:t>
      </w:r>
    </w:p>
    <w:p w14:paraId="13AC5C90" w14:textId="77777777" w:rsidR="00711E9F" w:rsidRPr="000D7B90" w:rsidRDefault="00711E9F" w:rsidP="000D7B90">
      <w:pPr>
        <w:jc w:val="both"/>
        <w:rPr>
          <w:rFonts w:asciiTheme="minorHAnsi" w:hAnsiTheme="minorHAnsi" w:cstheme="minorHAnsi"/>
          <w:sz w:val="22"/>
          <w:szCs w:val="22"/>
        </w:rPr>
      </w:pPr>
    </w:p>
    <w:p w14:paraId="104AD0B1" w14:textId="77777777" w:rsidR="00133F82" w:rsidRPr="000D7B90" w:rsidRDefault="00133F82" w:rsidP="000D7B90">
      <w:pPr>
        <w:rPr>
          <w:rFonts w:asciiTheme="minorHAnsi" w:hAnsiTheme="minorHAnsi" w:cstheme="minorHAnsi"/>
          <w:sz w:val="22"/>
          <w:szCs w:val="22"/>
        </w:rPr>
      </w:pPr>
    </w:p>
    <w:sectPr w:rsidR="00133F82" w:rsidRPr="000D7B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Std 47 Light Cn">
    <w:panose1 w:val="020B0706030504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82"/>
    <w:rsid w:val="000D7B90"/>
    <w:rsid w:val="00133F82"/>
    <w:rsid w:val="00711E9F"/>
    <w:rsid w:val="00971E5A"/>
    <w:rsid w:val="00DE0B89"/>
    <w:rsid w:val="00E71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8E70E"/>
  <w15:chartTrackingRefBased/>
  <w15:docId w15:val="{DFCFE1AF-54BB-43E8-A396-067D040D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F8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4">
    <w:name w:val="A14"/>
    <w:uiPriority w:val="99"/>
    <w:rsid w:val="00711E9F"/>
    <w:rPr>
      <w:rFonts w:cs="Frutiger LT Std 47 Light Cn"/>
      <w:color w:val="403F4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Joanna</dc:creator>
  <cp:keywords/>
  <dc:description/>
  <cp:lastModifiedBy>Wells, Joanna</cp:lastModifiedBy>
  <cp:revision>2</cp:revision>
  <dcterms:created xsi:type="dcterms:W3CDTF">2022-10-11T09:57:00Z</dcterms:created>
  <dcterms:modified xsi:type="dcterms:W3CDTF">2022-10-11T10:37:00Z</dcterms:modified>
</cp:coreProperties>
</file>