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8" w:rsidRDefault="00DC6118" w:rsidP="00DC6118">
      <w:r>
        <w:t xml:space="preserve">Hi Matthew, </w:t>
      </w:r>
    </w:p>
    <w:p w:rsidR="00DC6118" w:rsidRDefault="00DC6118" w:rsidP="00DC6118"/>
    <w:p w:rsidR="00DC6118" w:rsidRDefault="00DC6118" w:rsidP="00DC6118">
      <w:r>
        <w:t>Following your latest email please find the attached and below:</w:t>
      </w:r>
    </w:p>
    <w:p w:rsidR="00DC6118" w:rsidRDefault="00DC6118" w:rsidP="00DC6118"/>
    <w:p w:rsidR="00DC6118" w:rsidRDefault="00DC6118" w:rsidP="00DC6118"/>
    <w:p w:rsidR="00DC6118" w:rsidRDefault="00DC6118" w:rsidP="00DC6118"/>
    <w:p w:rsidR="00DC6118" w:rsidRDefault="00DC6118" w:rsidP="00DC611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Application </w:t>
      </w:r>
    </w:p>
    <w:p w:rsidR="00DC6118" w:rsidRDefault="00DC6118" w:rsidP="00DC6118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LeapFrog</w:t>
      </w:r>
      <w:proofErr w:type="spellEnd"/>
      <w:r>
        <w:rPr>
          <w:rFonts w:eastAsia="Times New Roman"/>
        </w:rPr>
        <w:t xml:space="preserve"> Emerging Wealth and Health Index  - </w:t>
      </w:r>
      <w:hyperlink r:id="rId5" w:history="1">
        <w:r>
          <w:rPr>
            <w:rStyle w:val="Hyperlink"/>
            <w:rFonts w:eastAsia="Times New Roman"/>
          </w:rPr>
          <w:t>https://leapfroginvest.com/wp-content/uploads/2022/11/LeapFrog-Emerging-Wealth-and-Health-Index-2022.pdf</w:t>
        </w:r>
      </w:hyperlink>
    </w:p>
    <w:p w:rsidR="00DC6118" w:rsidRDefault="00DC6118" w:rsidP="00DC6118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LeapFrog’s</w:t>
      </w:r>
      <w:proofErr w:type="spellEnd"/>
      <w:r>
        <w:rPr>
          <w:rFonts w:eastAsia="Times New Roman"/>
        </w:rPr>
        <w:t xml:space="preserve"> Impact Results 2021 - </w:t>
      </w:r>
      <w:hyperlink r:id="rId6" w:anchor=":~:text=People%20Reached%20Emerging%20Consumers%20Reached,at%20inception%2015%20years%20ago" w:history="1">
        <w:r>
          <w:rPr>
            <w:rStyle w:val="Hyperlink"/>
            <w:rFonts w:eastAsia="Times New Roman"/>
          </w:rPr>
          <w:t>https://impact.leapfroginvest.com/#:~:text=People%20Reached%20Emerging%20Consumers%20Reached,at%20inception%2015%20years%20ago</w:t>
        </w:r>
      </w:hyperlink>
      <w:r>
        <w:rPr>
          <w:rFonts w:eastAsia="Times New Roman"/>
        </w:rPr>
        <w:t xml:space="preserve"> </w:t>
      </w:r>
    </w:p>
    <w:p w:rsidR="00DC6118" w:rsidRDefault="00DC6118" w:rsidP="00DC6118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LeapFrog</w:t>
      </w:r>
      <w:proofErr w:type="spellEnd"/>
      <w:r>
        <w:rPr>
          <w:rFonts w:eastAsia="Times New Roman"/>
        </w:rPr>
        <w:t xml:space="preserve"> Investments: LEAPFROG EMERGING CONSUMER FUND III, LP – factsheet/ </w:t>
      </w:r>
      <w:proofErr w:type="spellStart"/>
      <w:r>
        <w:rPr>
          <w:rFonts w:eastAsia="Times New Roman"/>
        </w:rPr>
        <w:t>casestudy</w:t>
      </w:r>
      <w:proofErr w:type="spellEnd"/>
      <w:r>
        <w:rPr>
          <w:rFonts w:eastAsia="Times New Roman"/>
        </w:rPr>
        <w:t xml:space="preserve"> </w:t>
      </w:r>
    </w:p>
    <w:p w:rsidR="00DC6118" w:rsidRDefault="00DC6118" w:rsidP="00DC6118">
      <w:pPr>
        <w:rPr>
          <w:rFonts w:ascii="Calibri" w:hAnsi="Calibri"/>
          <w:sz w:val="22"/>
          <w:szCs w:val="22"/>
          <w:lang w:eastAsia="en-US"/>
        </w:rPr>
      </w:pPr>
    </w:p>
    <w:p w:rsidR="00DC6118" w:rsidRDefault="00DC6118" w:rsidP="00DC6118"/>
    <w:p w:rsidR="00DC6118" w:rsidRDefault="00DC6118" w:rsidP="00DC6118">
      <w:pPr>
        <w:shd w:val="clear" w:color="auto" w:fill="FFFFFF"/>
        <w:rPr>
          <w:color w:val="182636"/>
          <w:sz w:val="20"/>
          <w:szCs w:val="20"/>
          <w:bdr w:val="none" w:sz="0" w:space="0" w:color="auto" w:frame="1"/>
        </w:rPr>
      </w:pPr>
      <w:r>
        <w:rPr>
          <w:color w:val="182636"/>
          <w:sz w:val="20"/>
          <w:szCs w:val="20"/>
          <w:bdr w:val="none" w:sz="0" w:space="0" w:color="auto" w:frame="1"/>
        </w:rPr>
        <w:t>Anita Paradzayi</w:t>
      </w:r>
    </w:p>
    <w:p w:rsidR="00DC6118" w:rsidRDefault="00DC6118" w:rsidP="00DC6118">
      <w:pPr>
        <w:shd w:val="clear" w:color="auto" w:fill="FFFFFF"/>
        <w:rPr>
          <w:color w:val="19A3A7"/>
          <w:sz w:val="20"/>
          <w:szCs w:val="20"/>
          <w:bdr w:val="none" w:sz="0" w:space="0" w:color="auto" w:frame="1"/>
        </w:rPr>
      </w:pPr>
      <w:r>
        <w:rPr>
          <w:color w:val="19A3A7"/>
          <w:sz w:val="20"/>
          <w:szCs w:val="20"/>
          <w:bdr w:val="none" w:sz="0" w:space="0" w:color="auto" w:frame="1"/>
        </w:rPr>
        <w:t xml:space="preserve">Analyst </w:t>
      </w:r>
    </w:p>
    <w:p w:rsidR="00DC6118" w:rsidRDefault="00DC6118" w:rsidP="00DC6118">
      <w:pPr>
        <w:shd w:val="clear" w:color="auto" w:fill="FFFFFF"/>
        <w:rPr>
          <w:color w:val="19A3A7"/>
          <w:sz w:val="20"/>
          <w:szCs w:val="20"/>
          <w:bdr w:val="none" w:sz="0" w:space="0" w:color="auto" w:frame="1"/>
        </w:rPr>
      </w:pPr>
      <w:r>
        <w:rPr>
          <w:noProof/>
          <w:color w:val="000000"/>
        </w:rPr>
        <w:drawing>
          <wp:inline distT="0" distB="0" distL="0" distR="0">
            <wp:extent cx="1153160" cy="370840"/>
            <wp:effectExtent l="19050" t="0" r="8890" b="0"/>
            <wp:docPr id="1" name="Picture 1" descr="cid:image001.png@01D929AF.84351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29AF.84351FF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18" w:rsidRDefault="00DC6118" w:rsidP="00DC6118">
      <w:pPr>
        <w:shd w:val="clear" w:color="auto" w:fill="FFFFFF"/>
        <w:rPr>
          <w:rFonts w:ascii="Calibri" w:hAnsi="Calibri"/>
          <w:color w:val="201F1E"/>
          <w:sz w:val="22"/>
          <w:szCs w:val="22"/>
        </w:rPr>
      </w:pPr>
      <w:r>
        <w:rPr>
          <w:color w:val="182636"/>
          <w:sz w:val="20"/>
          <w:szCs w:val="20"/>
          <w:bdr w:val="none" w:sz="0" w:space="0" w:color="auto" w:frame="1"/>
        </w:rPr>
        <w:t>+44 (0)7801266772</w:t>
      </w:r>
    </w:p>
    <w:p w:rsidR="00DC6118" w:rsidRDefault="00DC6118" w:rsidP="00DC6118">
      <w:pPr>
        <w:shd w:val="clear" w:color="auto" w:fill="FFFFFF"/>
        <w:rPr>
          <w:color w:val="201F1E"/>
        </w:rPr>
      </w:pPr>
      <w:hyperlink r:id="rId9" w:history="1">
        <w:r>
          <w:rPr>
            <w:rStyle w:val="Hyperlink"/>
            <w:sz w:val="20"/>
            <w:szCs w:val="20"/>
            <w:bdr w:val="none" w:sz="0" w:space="0" w:color="auto" w:frame="1"/>
          </w:rPr>
          <w:t>Paradzayi@montfort.london</w:t>
        </w:r>
      </w:hyperlink>
    </w:p>
    <w:p w:rsidR="002F7F8C" w:rsidRPr="00DC6118" w:rsidRDefault="002F7F8C" w:rsidP="00DC6118"/>
    <w:sectPr w:rsidR="002F7F8C" w:rsidRPr="00DC6118" w:rsidSect="002F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ACA"/>
    <w:multiLevelType w:val="multilevel"/>
    <w:tmpl w:val="F28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revisionView w:inkAnnotations="0"/>
  <w:defaultTabStop w:val="720"/>
  <w:characterSpacingControl w:val="doNotCompress"/>
  <w:compat/>
  <w:rsids>
    <w:rsidRoot w:val="002F156A"/>
    <w:rsid w:val="00270893"/>
    <w:rsid w:val="002F156A"/>
    <w:rsid w:val="002F7F8C"/>
    <w:rsid w:val="0061125E"/>
    <w:rsid w:val="00757126"/>
    <w:rsid w:val="00DC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6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5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15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1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29AF.84351F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pact.leapfroginves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pfroginvest.com/wp-content/uploads/2022/11/LeapFrog-Emerging-Wealth-and-Health-Index-202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adzayi@montfort.lon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2023-01-23T08:41:00Z</dcterms:created>
  <dcterms:modified xsi:type="dcterms:W3CDTF">2023-01-23T08:41:00Z</dcterms:modified>
</cp:coreProperties>
</file>