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6710" w14:textId="77777777" w:rsidR="00211F3E" w:rsidRDefault="00211F3E" w:rsidP="00211F3E">
      <w:pPr>
        <w:pStyle w:val="Default"/>
      </w:pPr>
    </w:p>
    <w:p w14:paraId="4460B272" w14:textId="58F8379C" w:rsidR="00211F3E" w:rsidRPr="00211F3E" w:rsidRDefault="00211F3E" w:rsidP="00211F3E">
      <w:pPr>
        <w:pStyle w:val="Default"/>
        <w:rPr>
          <w:sz w:val="22"/>
          <w:szCs w:val="22"/>
          <w:u w:val="single"/>
          <w:lang w:val="en-GB"/>
        </w:rPr>
      </w:pPr>
      <w:r w:rsidRPr="00211F3E">
        <w:rPr>
          <w:b/>
          <w:bCs/>
          <w:sz w:val="22"/>
          <w:szCs w:val="22"/>
          <w:u w:val="single"/>
          <w:lang w:val="en-GB"/>
        </w:rPr>
        <w:t xml:space="preserve">Berenberg Sustainable </w:t>
      </w:r>
      <w:r w:rsidR="000C61E8">
        <w:rPr>
          <w:b/>
          <w:bCs/>
          <w:sz w:val="22"/>
          <w:szCs w:val="22"/>
          <w:u w:val="single"/>
          <w:lang w:val="en-GB"/>
        </w:rPr>
        <w:t>Multi Asset Dynamic</w:t>
      </w:r>
      <w:r w:rsidRPr="00211F3E">
        <w:rPr>
          <w:b/>
          <w:bCs/>
          <w:sz w:val="22"/>
          <w:szCs w:val="22"/>
          <w:u w:val="single"/>
          <w:lang w:val="en-GB"/>
        </w:rPr>
        <w:t xml:space="preserve"> Fund </w:t>
      </w:r>
    </w:p>
    <w:p w14:paraId="4CAA8CE4" w14:textId="6C1B097C" w:rsidR="00211F3E" w:rsidRPr="00211F3E" w:rsidRDefault="00211F3E" w:rsidP="00211F3E">
      <w:pPr>
        <w:pStyle w:val="Default"/>
        <w:spacing w:before="240"/>
        <w:rPr>
          <w:sz w:val="22"/>
          <w:szCs w:val="22"/>
          <w:u w:val="single"/>
          <w:lang w:val="en-GB"/>
        </w:rPr>
      </w:pPr>
      <w:r w:rsidRPr="00211F3E">
        <w:rPr>
          <w:b/>
          <w:bCs/>
          <w:sz w:val="22"/>
          <w:szCs w:val="22"/>
          <w:u w:val="single"/>
          <w:lang w:val="en-GB"/>
        </w:rPr>
        <w:t xml:space="preserve">ESG Investing Award Submission for Best ESG Investment Fund: </w:t>
      </w:r>
      <w:r w:rsidR="000C61E8">
        <w:rPr>
          <w:b/>
          <w:bCs/>
          <w:sz w:val="22"/>
          <w:szCs w:val="22"/>
          <w:u w:val="single"/>
          <w:lang w:val="en-GB"/>
        </w:rPr>
        <w:t>Multi-Asset</w:t>
      </w:r>
      <w:r w:rsidRPr="00211F3E">
        <w:rPr>
          <w:b/>
          <w:bCs/>
          <w:sz w:val="22"/>
          <w:szCs w:val="22"/>
          <w:u w:val="single"/>
          <w:lang w:val="en-GB"/>
        </w:rPr>
        <w:t xml:space="preserve"> </w:t>
      </w:r>
    </w:p>
    <w:p w14:paraId="45EBD9A0" w14:textId="4DBC7156" w:rsidR="00211F3E" w:rsidRPr="00F56954" w:rsidRDefault="00211F3E" w:rsidP="00211F3E">
      <w:pPr>
        <w:pStyle w:val="Default"/>
        <w:spacing w:before="240"/>
        <w:rPr>
          <w:sz w:val="22"/>
          <w:szCs w:val="22"/>
          <w:lang w:val="en-GB"/>
        </w:rPr>
      </w:pPr>
      <w:r w:rsidRPr="00F56954">
        <w:rPr>
          <w:sz w:val="22"/>
          <w:szCs w:val="22"/>
          <w:lang w:val="en-GB"/>
        </w:rPr>
        <w:t xml:space="preserve">The </w:t>
      </w:r>
      <w:r w:rsidRPr="00F56954">
        <w:rPr>
          <w:b/>
          <w:bCs/>
          <w:sz w:val="22"/>
          <w:szCs w:val="22"/>
          <w:lang w:val="en-GB"/>
        </w:rPr>
        <w:t xml:space="preserve">Berenberg Sustainable </w:t>
      </w:r>
      <w:r w:rsidR="00D93897" w:rsidRPr="00F56954">
        <w:rPr>
          <w:b/>
          <w:bCs/>
          <w:sz w:val="22"/>
          <w:szCs w:val="22"/>
          <w:lang w:val="en-GB"/>
        </w:rPr>
        <w:t>Multi Asset Dynamic</w:t>
      </w:r>
      <w:r w:rsidRPr="00F56954">
        <w:rPr>
          <w:color w:val="FF0000"/>
          <w:sz w:val="22"/>
          <w:szCs w:val="22"/>
          <w:vertAlign w:val="superscript"/>
          <w:lang w:val="en-GB"/>
        </w:rPr>
        <w:t>1</w:t>
      </w:r>
      <w:r w:rsidRPr="00F56954">
        <w:rPr>
          <w:sz w:val="14"/>
          <w:szCs w:val="14"/>
          <w:lang w:val="en-GB"/>
        </w:rPr>
        <w:t xml:space="preserve"> </w:t>
      </w:r>
      <w:r w:rsidRPr="00F56954">
        <w:rPr>
          <w:sz w:val="22"/>
          <w:szCs w:val="22"/>
          <w:lang w:val="en-GB"/>
        </w:rPr>
        <w:t xml:space="preserve">is underpinned by the belief that long term value creation goes hand-in-hand with business models and management teams who strive to contribute positively to sustainable structural trends. </w:t>
      </w:r>
    </w:p>
    <w:p w14:paraId="04089DF4" w14:textId="77777777" w:rsidR="00211F3E" w:rsidRPr="00D93897" w:rsidRDefault="00211F3E" w:rsidP="00DD1C30">
      <w:pPr>
        <w:pStyle w:val="Default"/>
        <w:spacing w:before="240" w:after="240"/>
        <w:rPr>
          <w:sz w:val="22"/>
          <w:szCs w:val="22"/>
          <w:lang w:val="en-GB"/>
        </w:rPr>
      </w:pPr>
      <w:r w:rsidRPr="00D93897">
        <w:rPr>
          <w:sz w:val="22"/>
          <w:szCs w:val="22"/>
          <w:lang w:val="en-GB"/>
        </w:rPr>
        <w:t xml:space="preserve">Four global challenges sit at heart of our impact framework: </w:t>
      </w:r>
    </w:p>
    <w:p w14:paraId="59A05069" w14:textId="78BFEEB3" w:rsidR="00211F3E" w:rsidRPr="00D93897" w:rsidRDefault="00211F3E" w:rsidP="00211F3E">
      <w:pPr>
        <w:pStyle w:val="Default"/>
        <w:spacing w:after="44"/>
        <w:ind w:left="708"/>
        <w:rPr>
          <w:sz w:val="22"/>
          <w:szCs w:val="22"/>
          <w:lang w:val="en-GB"/>
        </w:rPr>
      </w:pPr>
      <w:r w:rsidRPr="00D93897">
        <w:rPr>
          <w:sz w:val="22"/>
          <w:szCs w:val="22"/>
          <w:lang w:val="en-GB"/>
        </w:rPr>
        <w:t>(</w:t>
      </w:r>
      <w:proofErr w:type="spellStart"/>
      <w:r w:rsidRPr="00D93897">
        <w:rPr>
          <w:sz w:val="22"/>
          <w:szCs w:val="22"/>
          <w:lang w:val="en-GB"/>
        </w:rPr>
        <w:t>i</w:t>
      </w:r>
      <w:proofErr w:type="spellEnd"/>
      <w:r w:rsidRPr="00D93897">
        <w:rPr>
          <w:sz w:val="22"/>
          <w:szCs w:val="22"/>
          <w:lang w:val="en-GB"/>
        </w:rPr>
        <w:t xml:space="preserve">) Demography </w:t>
      </w:r>
      <w:r w:rsidR="00DD1C30" w:rsidRPr="00D93897">
        <w:rPr>
          <w:sz w:val="22"/>
          <w:szCs w:val="22"/>
          <w:lang w:val="en-GB"/>
        </w:rPr>
        <w:t>&amp;</w:t>
      </w:r>
      <w:r w:rsidRPr="00D93897">
        <w:rPr>
          <w:sz w:val="22"/>
          <w:szCs w:val="22"/>
          <w:lang w:val="en-GB"/>
        </w:rPr>
        <w:t xml:space="preserve"> </w:t>
      </w:r>
      <w:r w:rsidR="00DD1C30" w:rsidRPr="00D93897">
        <w:rPr>
          <w:sz w:val="22"/>
          <w:szCs w:val="22"/>
          <w:lang w:val="en-GB"/>
        </w:rPr>
        <w:t>H</w:t>
      </w:r>
      <w:r w:rsidRPr="00D93897">
        <w:rPr>
          <w:sz w:val="22"/>
          <w:szCs w:val="22"/>
          <w:lang w:val="en-GB"/>
        </w:rPr>
        <w:t xml:space="preserve">ealth; </w:t>
      </w:r>
    </w:p>
    <w:p w14:paraId="7639C3E1" w14:textId="76354E66" w:rsidR="00211F3E" w:rsidRPr="00D93897" w:rsidRDefault="00211F3E" w:rsidP="00211F3E">
      <w:pPr>
        <w:pStyle w:val="Default"/>
        <w:spacing w:after="44"/>
        <w:ind w:left="708"/>
        <w:rPr>
          <w:sz w:val="22"/>
          <w:szCs w:val="22"/>
          <w:lang w:val="en-GB"/>
        </w:rPr>
      </w:pPr>
      <w:r w:rsidRPr="00D93897">
        <w:rPr>
          <w:sz w:val="22"/>
          <w:szCs w:val="22"/>
          <w:lang w:val="en-GB"/>
        </w:rPr>
        <w:t xml:space="preserve">(ii) Climate </w:t>
      </w:r>
      <w:r w:rsidR="00DD1C30" w:rsidRPr="00D93897">
        <w:rPr>
          <w:sz w:val="22"/>
          <w:szCs w:val="22"/>
          <w:lang w:val="en-GB"/>
        </w:rPr>
        <w:t>C</w:t>
      </w:r>
      <w:r w:rsidRPr="00D93897">
        <w:rPr>
          <w:sz w:val="22"/>
          <w:szCs w:val="22"/>
          <w:lang w:val="en-GB"/>
        </w:rPr>
        <w:t xml:space="preserve">hange; </w:t>
      </w:r>
    </w:p>
    <w:p w14:paraId="0CA28FC2" w14:textId="08696CF2" w:rsidR="00DD1C30" w:rsidRPr="00D93897" w:rsidRDefault="00DD1C30" w:rsidP="00DD1C30">
      <w:pPr>
        <w:pStyle w:val="Default"/>
        <w:ind w:left="708"/>
        <w:rPr>
          <w:sz w:val="22"/>
          <w:szCs w:val="22"/>
          <w:lang w:val="en-GB"/>
        </w:rPr>
      </w:pPr>
      <w:r w:rsidRPr="00D93897">
        <w:rPr>
          <w:sz w:val="22"/>
          <w:szCs w:val="22"/>
          <w:lang w:val="en-GB"/>
        </w:rPr>
        <w:t xml:space="preserve">(iii) Sustainable Growth &amp; Innovation; </w:t>
      </w:r>
    </w:p>
    <w:p w14:paraId="211C729F" w14:textId="16CF2B2A" w:rsidR="00211F3E" w:rsidRPr="00D93897" w:rsidRDefault="00211F3E" w:rsidP="00211F3E">
      <w:pPr>
        <w:pStyle w:val="Default"/>
        <w:spacing w:after="44"/>
        <w:ind w:left="708"/>
        <w:rPr>
          <w:sz w:val="22"/>
          <w:szCs w:val="22"/>
          <w:lang w:val="en-GB"/>
        </w:rPr>
      </w:pPr>
      <w:r w:rsidRPr="00D93897">
        <w:rPr>
          <w:sz w:val="22"/>
          <w:szCs w:val="22"/>
          <w:lang w:val="en-GB"/>
        </w:rPr>
        <w:t>(i</w:t>
      </w:r>
      <w:r w:rsidR="00DD1C30" w:rsidRPr="00D93897">
        <w:rPr>
          <w:sz w:val="22"/>
          <w:szCs w:val="22"/>
          <w:lang w:val="en-GB"/>
        </w:rPr>
        <w:t>v</w:t>
      </w:r>
      <w:r w:rsidRPr="00D93897">
        <w:rPr>
          <w:sz w:val="22"/>
          <w:szCs w:val="22"/>
          <w:lang w:val="en-GB"/>
        </w:rPr>
        <w:t xml:space="preserve">) Responsible </w:t>
      </w:r>
      <w:r w:rsidR="00DD1C30" w:rsidRPr="00D93897">
        <w:rPr>
          <w:sz w:val="22"/>
          <w:szCs w:val="22"/>
          <w:lang w:val="en-GB"/>
        </w:rPr>
        <w:t>U</w:t>
      </w:r>
      <w:r w:rsidRPr="00D93897">
        <w:rPr>
          <w:sz w:val="22"/>
          <w:szCs w:val="22"/>
          <w:lang w:val="en-GB"/>
        </w:rPr>
        <w:t xml:space="preserve">se of </w:t>
      </w:r>
      <w:r w:rsidR="00DD1C30" w:rsidRPr="00D93897">
        <w:rPr>
          <w:sz w:val="22"/>
          <w:szCs w:val="22"/>
          <w:lang w:val="en-GB"/>
        </w:rPr>
        <w:t>R</w:t>
      </w:r>
      <w:r w:rsidRPr="00D93897">
        <w:rPr>
          <w:sz w:val="22"/>
          <w:szCs w:val="22"/>
          <w:lang w:val="en-GB"/>
        </w:rPr>
        <w:t>esources</w:t>
      </w:r>
      <w:r w:rsidR="00DD1C30" w:rsidRPr="00D93897">
        <w:rPr>
          <w:sz w:val="22"/>
          <w:szCs w:val="22"/>
          <w:lang w:val="en-GB"/>
        </w:rPr>
        <w:t>.</w:t>
      </w:r>
      <w:r w:rsidRPr="00D93897">
        <w:rPr>
          <w:sz w:val="22"/>
          <w:szCs w:val="22"/>
          <w:lang w:val="en-GB"/>
        </w:rPr>
        <w:t xml:space="preserve"> </w:t>
      </w:r>
    </w:p>
    <w:p w14:paraId="71A23A4B" w14:textId="77777777" w:rsidR="00211F3E" w:rsidRPr="000C61E8" w:rsidRDefault="00211F3E" w:rsidP="00211F3E">
      <w:pPr>
        <w:pStyle w:val="Default"/>
        <w:rPr>
          <w:sz w:val="22"/>
          <w:szCs w:val="22"/>
          <w:highlight w:val="yellow"/>
          <w:lang w:val="en-GB"/>
        </w:rPr>
      </w:pPr>
    </w:p>
    <w:p w14:paraId="77A34B8D" w14:textId="4DA62F47" w:rsidR="00211F3E" w:rsidRPr="00D93897" w:rsidRDefault="00211F3E" w:rsidP="00211F3E">
      <w:pPr>
        <w:pStyle w:val="Default"/>
        <w:rPr>
          <w:sz w:val="22"/>
          <w:szCs w:val="22"/>
          <w:lang w:val="en-GB"/>
        </w:rPr>
      </w:pPr>
      <w:r w:rsidRPr="00D93897">
        <w:rPr>
          <w:sz w:val="22"/>
          <w:szCs w:val="22"/>
          <w:lang w:val="en-GB"/>
        </w:rPr>
        <w:t xml:space="preserve">Every </w:t>
      </w:r>
      <w:r w:rsidR="001D6559">
        <w:rPr>
          <w:sz w:val="22"/>
          <w:szCs w:val="22"/>
          <w:lang w:val="en-GB"/>
        </w:rPr>
        <w:t xml:space="preserve">portfolio </w:t>
      </w:r>
      <w:r w:rsidR="00D93897">
        <w:rPr>
          <w:sz w:val="22"/>
          <w:szCs w:val="22"/>
          <w:lang w:val="en-GB"/>
        </w:rPr>
        <w:t>holding</w:t>
      </w:r>
      <w:r w:rsidRPr="00D93897">
        <w:rPr>
          <w:sz w:val="22"/>
          <w:szCs w:val="22"/>
          <w:lang w:val="en-GB"/>
        </w:rPr>
        <w:t xml:space="preserve"> undergoes in-depth impact analysis designed to assess the contribution to these challenges. </w:t>
      </w:r>
    </w:p>
    <w:p w14:paraId="4E964740" w14:textId="7224FF64" w:rsidR="00211F3E" w:rsidRPr="00D93897" w:rsidRDefault="00211F3E" w:rsidP="00211F3E">
      <w:pPr>
        <w:pStyle w:val="Default"/>
        <w:spacing w:before="240"/>
        <w:rPr>
          <w:sz w:val="22"/>
          <w:szCs w:val="22"/>
          <w:lang w:val="en-GB"/>
        </w:rPr>
      </w:pPr>
      <w:r w:rsidRPr="00D93897">
        <w:rPr>
          <w:sz w:val="22"/>
          <w:szCs w:val="22"/>
          <w:lang w:val="en-GB"/>
        </w:rPr>
        <w:t>Beyon</w:t>
      </w:r>
      <w:r w:rsidRPr="00F56954">
        <w:rPr>
          <w:sz w:val="22"/>
          <w:szCs w:val="22"/>
          <w:lang w:val="en-GB"/>
        </w:rPr>
        <w:t xml:space="preserve">d the </w:t>
      </w:r>
      <w:r w:rsidRPr="00F56954">
        <w:rPr>
          <w:b/>
          <w:bCs/>
          <w:sz w:val="22"/>
          <w:szCs w:val="22"/>
          <w:lang w:val="en-GB"/>
        </w:rPr>
        <w:t xml:space="preserve">positive environmental and social impact </w:t>
      </w:r>
      <w:r w:rsidR="00552AC4" w:rsidRPr="00F56954">
        <w:rPr>
          <w:b/>
          <w:bCs/>
          <w:sz w:val="22"/>
          <w:szCs w:val="22"/>
          <w:lang w:val="en-GB"/>
        </w:rPr>
        <w:t>of its</w:t>
      </w:r>
      <w:r w:rsidR="007B5B4E" w:rsidRPr="00F56954">
        <w:rPr>
          <w:b/>
          <w:bCs/>
          <w:sz w:val="22"/>
          <w:szCs w:val="22"/>
          <w:lang w:val="en-GB"/>
        </w:rPr>
        <w:t xml:space="preserve"> </w:t>
      </w:r>
      <w:r w:rsidR="001A3FA5">
        <w:rPr>
          <w:b/>
          <w:bCs/>
          <w:sz w:val="22"/>
          <w:szCs w:val="22"/>
          <w:lang w:val="en-GB"/>
        </w:rPr>
        <w:t xml:space="preserve">portfolio </w:t>
      </w:r>
      <w:r w:rsidR="00D93897" w:rsidRPr="00F56954">
        <w:rPr>
          <w:b/>
          <w:bCs/>
          <w:sz w:val="22"/>
          <w:szCs w:val="22"/>
          <w:lang w:val="en-GB"/>
        </w:rPr>
        <w:t>holdings</w:t>
      </w:r>
      <w:r w:rsidR="007B5B4E" w:rsidRPr="00F56954">
        <w:rPr>
          <w:b/>
          <w:bCs/>
          <w:sz w:val="22"/>
          <w:szCs w:val="22"/>
          <w:lang w:val="en-GB"/>
        </w:rPr>
        <w:t xml:space="preserve"> </w:t>
      </w:r>
      <w:r w:rsidRPr="00F56954">
        <w:rPr>
          <w:sz w:val="22"/>
          <w:szCs w:val="22"/>
          <w:lang w:val="en-GB"/>
        </w:rPr>
        <w:t xml:space="preserve">and </w:t>
      </w:r>
      <w:r w:rsidR="00552AC4" w:rsidRPr="00F56954">
        <w:rPr>
          <w:b/>
          <w:bCs/>
          <w:sz w:val="22"/>
          <w:szCs w:val="22"/>
          <w:lang w:val="en-GB"/>
        </w:rPr>
        <w:t>its clear investment philosophy</w:t>
      </w:r>
      <w:r w:rsidRPr="00F56954">
        <w:rPr>
          <w:color w:val="FF0000"/>
          <w:sz w:val="22"/>
          <w:szCs w:val="22"/>
          <w:vertAlign w:val="superscript"/>
          <w:lang w:val="en-GB"/>
        </w:rPr>
        <w:t>1</w:t>
      </w:r>
      <w:r w:rsidRPr="00F56954">
        <w:rPr>
          <w:sz w:val="22"/>
          <w:szCs w:val="22"/>
          <w:lang w:val="en-GB"/>
        </w:rPr>
        <w:t xml:space="preserve">, </w:t>
      </w:r>
      <w:r w:rsidR="00552AC4" w:rsidRPr="00F56954">
        <w:rPr>
          <w:sz w:val="22"/>
          <w:szCs w:val="22"/>
          <w:lang w:val="en-GB"/>
        </w:rPr>
        <w:t>the</w:t>
      </w:r>
      <w:r w:rsidR="00552AC4" w:rsidRPr="00D93897">
        <w:rPr>
          <w:sz w:val="22"/>
          <w:szCs w:val="22"/>
          <w:lang w:val="en-GB"/>
        </w:rPr>
        <w:t xml:space="preserve"> Fund </w:t>
      </w:r>
      <w:r w:rsidRPr="00D93897">
        <w:rPr>
          <w:sz w:val="22"/>
          <w:szCs w:val="22"/>
          <w:lang w:val="en-GB"/>
        </w:rPr>
        <w:t xml:space="preserve">could be considered best in class for the following reasons: </w:t>
      </w:r>
    </w:p>
    <w:p w14:paraId="3B1812AD" w14:textId="77777777" w:rsidR="00211F3E" w:rsidRPr="000C61E8" w:rsidRDefault="00211F3E" w:rsidP="00211F3E">
      <w:pPr>
        <w:pStyle w:val="Default"/>
        <w:ind w:left="720"/>
        <w:rPr>
          <w:sz w:val="22"/>
          <w:szCs w:val="22"/>
          <w:highlight w:val="yellow"/>
          <w:lang w:val="en-GB"/>
        </w:rPr>
      </w:pPr>
    </w:p>
    <w:p w14:paraId="32B2E534" w14:textId="3CB84349" w:rsidR="00211F3E" w:rsidRPr="00F56954" w:rsidRDefault="00211F3E" w:rsidP="00211F3E">
      <w:pPr>
        <w:pStyle w:val="Default"/>
        <w:numPr>
          <w:ilvl w:val="0"/>
          <w:numId w:val="2"/>
        </w:numPr>
        <w:rPr>
          <w:sz w:val="22"/>
          <w:szCs w:val="22"/>
          <w:lang w:val="en-GB"/>
        </w:rPr>
      </w:pPr>
      <w:r w:rsidRPr="00F56954">
        <w:rPr>
          <w:b/>
          <w:bCs/>
          <w:sz w:val="22"/>
          <w:szCs w:val="22"/>
          <w:lang w:val="en-GB"/>
        </w:rPr>
        <w:t xml:space="preserve">Innovation </w:t>
      </w:r>
      <w:r w:rsidRPr="00F56954">
        <w:rPr>
          <w:sz w:val="22"/>
          <w:szCs w:val="22"/>
          <w:lang w:val="en-GB"/>
        </w:rPr>
        <w:t xml:space="preserve">– </w:t>
      </w:r>
      <w:r w:rsidRPr="00F56954">
        <w:rPr>
          <w:b/>
          <w:bCs/>
          <w:sz w:val="22"/>
          <w:szCs w:val="22"/>
          <w:lang w:val="en-GB"/>
        </w:rPr>
        <w:t>Berenberg Net Impact Model</w:t>
      </w:r>
      <w:r w:rsidRPr="00F56954">
        <w:rPr>
          <w:sz w:val="22"/>
          <w:szCs w:val="22"/>
          <w:lang w:val="en-GB"/>
        </w:rPr>
        <w:t xml:space="preserve">. This </w:t>
      </w:r>
      <w:r w:rsidR="00E02C72" w:rsidRPr="00F56954">
        <w:rPr>
          <w:sz w:val="22"/>
          <w:szCs w:val="22"/>
          <w:lang w:val="en-GB"/>
        </w:rPr>
        <w:t xml:space="preserve">evolving </w:t>
      </w:r>
      <w:r w:rsidRPr="00F56954">
        <w:rPr>
          <w:sz w:val="22"/>
          <w:szCs w:val="22"/>
          <w:lang w:val="en-GB"/>
        </w:rPr>
        <w:t xml:space="preserve">innovative, proprietary model is used to holistically assess the positive </w:t>
      </w:r>
      <w:r w:rsidRPr="00F56954">
        <w:rPr>
          <w:i/>
          <w:iCs/>
          <w:sz w:val="22"/>
          <w:szCs w:val="22"/>
          <w:lang w:val="en-GB"/>
        </w:rPr>
        <w:t xml:space="preserve">and </w:t>
      </w:r>
      <w:r w:rsidRPr="00F56954">
        <w:rPr>
          <w:sz w:val="22"/>
          <w:szCs w:val="22"/>
          <w:lang w:val="en-GB"/>
        </w:rPr>
        <w:t>negative impact of our holdings, a key differentiating featur</w:t>
      </w:r>
      <w:r w:rsidR="001D6559">
        <w:rPr>
          <w:sz w:val="22"/>
          <w:szCs w:val="22"/>
          <w:lang w:val="en-GB"/>
        </w:rPr>
        <w:t>e</w:t>
      </w:r>
      <w:r w:rsidRPr="00F56954">
        <w:rPr>
          <w:sz w:val="22"/>
          <w:szCs w:val="22"/>
          <w:lang w:val="en-GB"/>
        </w:rPr>
        <w:t>.</w:t>
      </w:r>
      <w:r w:rsidR="00AE74F0" w:rsidRPr="00F56954">
        <w:rPr>
          <w:sz w:val="22"/>
          <w:szCs w:val="22"/>
          <w:lang w:val="en-GB"/>
        </w:rPr>
        <w:t xml:space="preserve"> The model is adjusted for fixed income investments to</w:t>
      </w:r>
      <w:r w:rsidR="00F56954">
        <w:rPr>
          <w:sz w:val="22"/>
          <w:szCs w:val="22"/>
          <w:lang w:val="en-GB"/>
        </w:rPr>
        <w:t xml:space="preserve"> adequately</w:t>
      </w:r>
      <w:r w:rsidR="00AE74F0" w:rsidRPr="00F56954">
        <w:rPr>
          <w:sz w:val="22"/>
          <w:szCs w:val="22"/>
          <w:lang w:val="en-GB"/>
        </w:rPr>
        <w:t xml:space="preserve"> capture their characteristics</w:t>
      </w:r>
      <w:r w:rsidR="00F56954">
        <w:rPr>
          <w:sz w:val="22"/>
          <w:szCs w:val="22"/>
          <w:lang w:val="en-GB"/>
        </w:rPr>
        <w:t>.</w:t>
      </w:r>
      <w:r w:rsidRPr="00F56954">
        <w:rPr>
          <w:color w:val="FF0000"/>
          <w:sz w:val="22"/>
          <w:szCs w:val="22"/>
          <w:vertAlign w:val="superscript"/>
          <w:lang w:val="en-GB"/>
        </w:rPr>
        <w:t>2</w:t>
      </w:r>
    </w:p>
    <w:p w14:paraId="7D904910" w14:textId="77777777" w:rsidR="00211F3E" w:rsidRPr="000C61E8" w:rsidRDefault="00211F3E" w:rsidP="00211F3E">
      <w:pPr>
        <w:pStyle w:val="Default"/>
        <w:ind w:left="720"/>
        <w:rPr>
          <w:sz w:val="22"/>
          <w:szCs w:val="22"/>
          <w:highlight w:val="yellow"/>
          <w:lang w:val="en-GB"/>
        </w:rPr>
      </w:pPr>
    </w:p>
    <w:p w14:paraId="49CA234A" w14:textId="10DE0ED8" w:rsidR="00211F3E" w:rsidRPr="00D93897" w:rsidRDefault="00211F3E" w:rsidP="00211F3E">
      <w:pPr>
        <w:pStyle w:val="Default"/>
        <w:numPr>
          <w:ilvl w:val="0"/>
          <w:numId w:val="2"/>
        </w:numPr>
        <w:rPr>
          <w:sz w:val="22"/>
          <w:szCs w:val="22"/>
          <w:lang w:val="en-GB"/>
        </w:rPr>
      </w:pPr>
      <w:r w:rsidRPr="00D93897">
        <w:rPr>
          <w:b/>
          <w:bCs/>
          <w:sz w:val="22"/>
          <w:szCs w:val="22"/>
          <w:lang w:val="en-GB"/>
        </w:rPr>
        <w:t>Small and mid-caps</w:t>
      </w:r>
      <w:r w:rsidR="007B5B4E" w:rsidRPr="00D93897">
        <w:rPr>
          <w:b/>
          <w:bCs/>
          <w:sz w:val="22"/>
          <w:szCs w:val="22"/>
          <w:lang w:val="en-GB"/>
        </w:rPr>
        <w:t xml:space="preserve"> expertise</w:t>
      </w:r>
      <w:r w:rsidRPr="00D93897">
        <w:rPr>
          <w:b/>
          <w:bCs/>
          <w:sz w:val="22"/>
          <w:szCs w:val="22"/>
          <w:lang w:val="en-GB"/>
        </w:rPr>
        <w:t xml:space="preserve"> </w:t>
      </w:r>
      <w:r w:rsidRPr="00D93897">
        <w:rPr>
          <w:sz w:val="22"/>
          <w:szCs w:val="22"/>
          <w:lang w:val="en-GB"/>
        </w:rPr>
        <w:t>– small and mid-cap investing is a strength of Berenberg. Less research coverage results in smaller companies tending to have poorer ESG ratings. Often</w:t>
      </w:r>
      <w:r w:rsidR="00EA1954" w:rsidRPr="00D93897">
        <w:rPr>
          <w:sz w:val="22"/>
          <w:szCs w:val="22"/>
          <w:lang w:val="en-GB"/>
        </w:rPr>
        <w:t>,</w:t>
      </w:r>
      <w:r w:rsidRPr="00D93897">
        <w:rPr>
          <w:sz w:val="22"/>
          <w:szCs w:val="22"/>
          <w:lang w:val="en-GB"/>
        </w:rPr>
        <w:t xml:space="preserve"> these companies provide innovative solutions that address global challenges. Investors in the Fund benefit from exposure to outstanding and impactful smaller companies that typically </w:t>
      </w:r>
      <w:r w:rsidR="00EA1954" w:rsidRPr="00D93897">
        <w:rPr>
          <w:sz w:val="22"/>
          <w:szCs w:val="22"/>
          <w:lang w:val="en-GB"/>
        </w:rPr>
        <w:t>don’t</w:t>
      </w:r>
      <w:r w:rsidRPr="00D93897">
        <w:rPr>
          <w:sz w:val="22"/>
          <w:szCs w:val="22"/>
          <w:lang w:val="en-GB"/>
        </w:rPr>
        <w:t xml:space="preserve"> feature in the portfolios </w:t>
      </w:r>
      <w:r w:rsidR="007B5B4E" w:rsidRPr="00D93897">
        <w:rPr>
          <w:sz w:val="22"/>
          <w:szCs w:val="22"/>
          <w:lang w:val="en-GB"/>
        </w:rPr>
        <w:t xml:space="preserve">of </w:t>
      </w:r>
      <w:r w:rsidRPr="00D93897">
        <w:rPr>
          <w:sz w:val="22"/>
          <w:szCs w:val="22"/>
          <w:lang w:val="en-GB"/>
        </w:rPr>
        <w:t>our peers.</w:t>
      </w:r>
      <w:r w:rsidRPr="00D93897">
        <w:rPr>
          <w:color w:val="FF0000"/>
          <w:sz w:val="22"/>
          <w:szCs w:val="22"/>
          <w:vertAlign w:val="superscript"/>
          <w:lang w:val="en-GB"/>
        </w:rPr>
        <w:t xml:space="preserve"> 3</w:t>
      </w:r>
      <w:r w:rsidRPr="00D93897">
        <w:rPr>
          <w:sz w:val="14"/>
          <w:szCs w:val="14"/>
          <w:lang w:val="en-GB"/>
        </w:rPr>
        <w:t xml:space="preserve"> </w:t>
      </w:r>
    </w:p>
    <w:p w14:paraId="0BA66733" w14:textId="77777777" w:rsidR="00211F3E" w:rsidRPr="000C61E8" w:rsidRDefault="00211F3E" w:rsidP="00211F3E">
      <w:pPr>
        <w:pStyle w:val="Default"/>
        <w:ind w:left="720"/>
        <w:rPr>
          <w:sz w:val="22"/>
          <w:szCs w:val="22"/>
          <w:highlight w:val="yellow"/>
          <w:lang w:val="en-GB"/>
        </w:rPr>
      </w:pPr>
    </w:p>
    <w:p w14:paraId="17ED9CF5" w14:textId="31EC2566" w:rsidR="00211F3E" w:rsidRPr="00D93897" w:rsidRDefault="00211F3E" w:rsidP="00211F3E">
      <w:pPr>
        <w:pStyle w:val="Default"/>
        <w:numPr>
          <w:ilvl w:val="0"/>
          <w:numId w:val="2"/>
        </w:numPr>
        <w:rPr>
          <w:sz w:val="22"/>
          <w:szCs w:val="22"/>
          <w:lang w:val="en-GB"/>
        </w:rPr>
      </w:pPr>
      <w:r w:rsidRPr="00D93897">
        <w:rPr>
          <w:b/>
          <w:bCs/>
          <w:sz w:val="22"/>
          <w:szCs w:val="22"/>
          <w:lang w:val="en-GB"/>
        </w:rPr>
        <w:t xml:space="preserve">Unparalleled transparency </w:t>
      </w:r>
      <w:r w:rsidRPr="00D93897">
        <w:rPr>
          <w:sz w:val="22"/>
          <w:szCs w:val="22"/>
          <w:lang w:val="en-GB"/>
        </w:rPr>
        <w:t>– Impact reports have become common-place. However, the Fund’s</w:t>
      </w:r>
      <w:r w:rsidR="00DD1C30" w:rsidRPr="00D93897">
        <w:rPr>
          <w:sz w:val="22"/>
          <w:szCs w:val="22"/>
          <w:lang w:val="en-GB"/>
        </w:rPr>
        <w:t xml:space="preserve"> annual</w:t>
      </w:r>
      <w:r w:rsidRPr="00D93897">
        <w:rPr>
          <w:sz w:val="22"/>
          <w:szCs w:val="22"/>
          <w:lang w:val="en-GB"/>
        </w:rPr>
        <w:t xml:space="preserve"> Impact Report is uncommon by the degree of transparency it provides on the investment process, particularly the Net Impact Model. This degree of transparency (beyond outcomes) is what clients often tell us they are missing from many other asset managers. </w:t>
      </w:r>
    </w:p>
    <w:p w14:paraId="51DC1062" w14:textId="77777777" w:rsidR="00211F3E" w:rsidRPr="000C61E8" w:rsidRDefault="00211F3E" w:rsidP="00211F3E">
      <w:pPr>
        <w:pStyle w:val="Default"/>
        <w:ind w:left="720"/>
        <w:rPr>
          <w:sz w:val="22"/>
          <w:szCs w:val="22"/>
          <w:highlight w:val="yellow"/>
          <w:lang w:val="en-GB"/>
        </w:rPr>
      </w:pPr>
    </w:p>
    <w:p w14:paraId="634B3213" w14:textId="1E787C56" w:rsidR="00211F3E" w:rsidRPr="00D93897" w:rsidRDefault="00211F3E" w:rsidP="00211F3E">
      <w:pPr>
        <w:pStyle w:val="Default"/>
        <w:numPr>
          <w:ilvl w:val="0"/>
          <w:numId w:val="2"/>
        </w:numPr>
        <w:rPr>
          <w:sz w:val="22"/>
          <w:szCs w:val="22"/>
          <w:lang w:val="en-GB"/>
        </w:rPr>
      </w:pPr>
      <w:r w:rsidRPr="00D93897">
        <w:rPr>
          <w:b/>
          <w:bCs/>
          <w:sz w:val="22"/>
          <w:szCs w:val="22"/>
          <w:lang w:val="en-GB"/>
        </w:rPr>
        <w:t xml:space="preserve">Collaboration and knowledge transfer </w:t>
      </w:r>
      <w:r w:rsidRPr="00D93897">
        <w:rPr>
          <w:sz w:val="22"/>
          <w:szCs w:val="22"/>
          <w:lang w:val="en-GB"/>
        </w:rPr>
        <w:t xml:space="preserve">– Establishing the four </w:t>
      </w:r>
      <w:r w:rsidR="00F56954">
        <w:rPr>
          <w:sz w:val="22"/>
          <w:szCs w:val="22"/>
          <w:lang w:val="en-GB"/>
        </w:rPr>
        <w:t>structural trends</w:t>
      </w:r>
      <w:r w:rsidRPr="00D93897">
        <w:rPr>
          <w:sz w:val="22"/>
          <w:szCs w:val="22"/>
          <w:lang w:val="en-GB"/>
        </w:rPr>
        <w:t xml:space="preserve"> was a result not only of internal thought and research but also thoughtful engagement and collaboration with the wider investor community by means of ESG surveys.</w:t>
      </w:r>
      <w:r w:rsidRPr="00D93897">
        <w:rPr>
          <w:color w:val="FF0000"/>
          <w:sz w:val="22"/>
          <w:szCs w:val="22"/>
          <w:vertAlign w:val="superscript"/>
          <w:lang w:val="en-GB"/>
        </w:rPr>
        <w:t>4</w:t>
      </w:r>
      <w:r w:rsidRPr="00D93897">
        <w:rPr>
          <w:sz w:val="14"/>
          <w:szCs w:val="14"/>
          <w:lang w:val="en-GB"/>
        </w:rPr>
        <w:t xml:space="preserve"> </w:t>
      </w:r>
      <w:r w:rsidRPr="00D93897">
        <w:rPr>
          <w:sz w:val="22"/>
          <w:szCs w:val="22"/>
          <w:lang w:val="en-GB"/>
        </w:rPr>
        <w:t xml:space="preserve">The </w:t>
      </w:r>
      <w:r w:rsidR="00F56954">
        <w:rPr>
          <w:sz w:val="22"/>
          <w:szCs w:val="22"/>
          <w:lang w:val="en-GB"/>
        </w:rPr>
        <w:t xml:space="preserve">survey </w:t>
      </w:r>
      <w:r w:rsidRPr="00D93897">
        <w:rPr>
          <w:sz w:val="22"/>
          <w:szCs w:val="22"/>
          <w:lang w:val="en-GB"/>
        </w:rPr>
        <w:t xml:space="preserve">results have valuable investment application. </w:t>
      </w:r>
    </w:p>
    <w:p w14:paraId="56CCF7A4" w14:textId="77777777" w:rsidR="00211F3E" w:rsidRPr="00211F3E" w:rsidRDefault="00211F3E" w:rsidP="00211F3E">
      <w:pPr>
        <w:pStyle w:val="Default"/>
        <w:rPr>
          <w:sz w:val="22"/>
          <w:szCs w:val="22"/>
          <w:lang w:val="en-GB"/>
        </w:rPr>
      </w:pPr>
    </w:p>
    <w:p w14:paraId="10452845" w14:textId="77777777" w:rsidR="00211F3E" w:rsidRPr="00211F3E" w:rsidRDefault="00211F3E" w:rsidP="00211F3E">
      <w:pPr>
        <w:pStyle w:val="Default"/>
        <w:rPr>
          <w:sz w:val="22"/>
          <w:szCs w:val="22"/>
          <w:u w:val="single"/>
          <w:lang w:val="en-GB"/>
        </w:rPr>
      </w:pPr>
      <w:r w:rsidRPr="00211F3E">
        <w:rPr>
          <w:b/>
          <w:bCs/>
          <w:sz w:val="22"/>
          <w:szCs w:val="22"/>
          <w:u w:val="single"/>
          <w:lang w:val="en-GB"/>
        </w:rPr>
        <w:t xml:space="preserve">Word count: 300 words </w:t>
      </w:r>
    </w:p>
    <w:p w14:paraId="4826A2CD" w14:textId="77777777" w:rsidR="00211F3E" w:rsidRPr="00211F3E" w:rsidRDefault="00211F3E" w:rsidP="00211F3E">
      <w:pPr>
        <w:pStyle w:val="Default"/>
        <w:rPr>
          <w:sz w:val="22"/>
          <w:szCs w:val="22"/>
          <w:lang w:val="en-GB"/>
        </w:rPr>
      </w:pPr>
      <w:r w:rsidRPr="00211F3E">
        <w:rPr>
          <w:sz w:val="22"/>
          <w:szCs w:val="22"/>
          <w:lang w:val="en-GB"/>
        </w:rPr>
        <w:t xml:space="preserve">-------------------- </w:t>
      </w:r>
    </w:p>
    <w:p w14:paraId="017954F7" w14:textId="77777777" w:rsidR="00211F3E" w:rsidRDefault="00211F3E" w:rsidP="00211F3E">
      <w:pPr>
        <w:pStyle w:val="Default"/>
        <w:rPr>
          <w:i/>
          <w:iCs/>
          <w:color w:val="FF0000"/>
          <w:sz w:val="22"/>
          <w:szCs w:val="22"/>
          <w:lang w:val="en-GB"/>
        </w:rPr>
      </w:pPr>
      <w:r w:rsidRPr="00211F3E">
        <w:rPr>
          <w:i/>
          <w:iCs/>
          <w:color w:val="FF0000"/>
          <w:sz w:val="22"/>
          <w:szCs w:val="22"/>
          <w:lang w:val="en-GB"/>
        </w:rPr>
        <w:t xml:space="preserve">Attachments </w:t>
      </w:r>
    </w:p>
    <w:p w14:paraId="41989454" w14:textId="77777777" w:rsidR="00211F3E" w:rsidRDefault="00211F3E" w:rsidP="00211F3E">
      <w:pPr>
        <w:pStyle w:val="Default"/>
        <w:rPr>
          <w:i/>
          <w:iCs/>
          <w:color w:val="FF0000"/>
          <w:sz w:val="22"/>
          <w:szCs w:val="22"/>
          <w:lang w:val="en-GB"/>
        </w:rPr>
      </w:pPr>
    </w:p>
    <w:p w14:paraId="7CB2FD48" w14:textId="340E2055" w:rsidR="00211F3E" w:rsidRPr="002D41E9" w:rsidRDefault="00211F3E" w:rsidP="00211F3E">
      <w:pPr>
        <w:pStyle w:val="Default"/>
        <w:rPr>
          <w:color w:val="FF0000"/>
          <w:sz w:val="22"/>
          <w:szCs w:val="22"/>
          <w:lang w:val="en-GB"/>
        </w:rPr>
      </w:pPr>
      <w:r w:rsidRPr="002D41E9">
        <w:rPr>
          <w:i/>
          <w:iCs/>
          <w:color w:val="FF0000"/>
          <w:sz w:val="22"/>
          <w:szCs w:val="22"/>
          <w:lang w:val="en-GB"/>
        </w:rPr>
        <w:t>1 – Please find a summary Fund presentation attached</w:t>
      </w:r>
    </w:p>
    <w:p w14:paraId="79ABAC50" w14:textId="47D319FF" w:rsidR="00211F3E" w:rsidRPr="002D41E9" w:rsidRDefault="00211F3E" w:rsidP="00211F3E">
      <w:pPr>
        <w:pStyle w:val="Default"/>
        <w:rPr>
          <w:color w:val="FF0000"/>
          <w:sz w:val="22"/>
          <w:szCs w:val="22"/>
          <w:lang w:val="en-GB"/>
        </w:rPr>
      </w:pPr>
      <w:r w:rsidRPr="002D41E9">
        <w:rPr>
          <w:i/>
          <w:iCs/>
          <w:color w:val="FF0000"/>
          <w:sz w:val="22"/>
          <w:szCs w:val="22"/>
          <w:lang w:val="en-GB"/>
        </w:rPr>
        <w:t xml:space="preserve">2 – Please find attached our Impact Report </w:t>
      </w:r>
      <w:r w:rsidR="00DD1C30" w:rsidRPr="002D41E9">
        <w:rPr>
          <w:i/>
          <w:iCs/>
          <w:color w:val="FF0000"/>
          <w:sz w:val="22"/>
          <w:szCs w:val="22"/>
          <w:lang w:val="en-GB"/>
        </w:rPr>
        <w:t>2022</w:t>
      </w:r>
    </w:p>
    <w:p w14:paraId="49FE6E53" w14:textId="77777777" w:rsidR="00211F3E" w:rsidRPr="002D41E9" w:rsidRDefault="00211F3E" w:rsidP="00211F3E">
      <w:pPr>
        <w:pStyle w:val="Default"/>
        <w:rPr>
          <w:color w:val="FF0000"/>
          <w:sz w:val="22"/>
          <w:szCs w:val="22"/>
          <w:lang w:val="en-GB"/>
        </w:rPr>
      </w:pPr>
      <w:r w:rsidRPr="002D41E9">
        <w:rPr>
          <w:i/>
          <w:iCs/>
          <w:color w:val="FF0000"/>
          <w:sz w:val="22"/>
          <w:szCs w:val="22"/>
          <w:lang w:val="en-GB"/>
        </w:rPr>
        <w:t xml:space="preserve">3 – Please find attached our thought-leadership on addressing ESG challenges in the small and mid-caps. </w:t>
      </w:r>
    </w:p>
    <w:p w14:paraId="357EB6B0" w14:textId="6B66E421" w:rsidR="0090347F" w:rsidRPr="00211F3E" w:rsidRDefault="00211F3E" w:rsidP="00211F3E">
      <w:pPr>
        <w:rPr>
          <w:color w:val="FF0000"/>
          <w:lang w:val="en-GB"/>
        </w:rPr>
      </w:pPr>
      <w:r w:rsidRPr="002D41E9">
        <w:rPr>
          <w:i/>
          <w:iCs/>
          <w:color w:val="FF0000"/>
          <w:lang w:val="en-GB"/>
        </w:rPr>
        <w:lastRenderedPageBreak/>
        <w:t>4 – Please find attached our most recent ESG Survey</w:t>
      </w:r>
      <w:r w:rsidR="00DD1C30" w:rsidRPr="002D41E9">
        <w:rPr>
          <w:i/>
          <w:iCs/>
          <w:color w:val="FF0000"/>
          <w:lang w:val="en-GB"/>
        </w:rPr>
        <w:t xml:space="preserve"> 2022</w:t>
      </w:r>
    </w:p>
    <w:sectPr w:rsidR="0090347F" w:rsidRPr="00211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0DD5BF"/>
    <w:multiLevelType w:val="hybridMultilevel"/>
    <w:tmpl w:val="35621EF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DCD6C02"/>
    <w:multiLevelType w:val="hybridMultilevel"/>
    <w:tmpl w:val="D4705F8A"/>
    <w:lvl w:ilvl="0" w:tplc="9A009C32">
      <w:start w:val="4"/>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3E"/>
    <w:rsid w:val="000C61E8"/>
    <w:rsid w:val="000F3AAC"/>
    <w:rsid w:val="001826A4"/>
    <w:rsid w:val="001A3FA5"/>
    <w:rsid w:val="001D6559"/>
    <w:rsid w:val="00211F3E"/>
    <w:rsid w:val="00231827"/>
    <w:rsid w:val="002D41A7"/>
    <w:rsid w:val="002D41E9"/>
    <w:rsid w:val="003F4796"/>
    <w:rsid w:val="00552AC4"/>
    <w:rsid w:val="007B5B4E"/>
    <w:rsid w:val="00840617"/>
    <w:rsid w:val="00932BDB"/>
    <w:rsid w:val="00AE74F0"/>
    <w:rsid w:val="00C93F84"/>
    <w:rsid w:val="00D45DB4"/>
    <w:rsid w:val="00D93897"/>
    <w:rsid w:val="00DD1C30"/>
    <w:rsid w:val="00DE04CF"/>
    <w:rsid w:val="00E0110D"/>
    <w:rsid w:val="00E02C72"/>
    <w:rsid w:val="00EA1954"/>
    <w:rsid w:val="00EE2223"/>
    <w:rsid w:val="00F56954"/>
    <w:rsid w:val="00FF1D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6971"/>
  <w15:chartTrackingRefBased/>
  <w15:docId w15:val="{3A07EBDE-6FE7-458B-9DC2-700F94E2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1F3E"/>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DD1C30"/>
    <w:rPr>
      <w:sz w:val="16"/>
      <w:szCs w:val="16"/>
    </w:rPr>
  </w:style>
  <w:style w:type="paragraph" w:styleId="Kommentartext">
    <w:name w:val="annotation text"/>
    <w:basedOn w:val="Standard"/>
    <w:link w:val="KommentartextZchn"/>
    <w:uiPriority w:val="99"/>
    <w:semiHidden/>
    <w:unhideWhenUsed/>
    <w:rsid w:val="00DD1C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1C30"/>
    <w:rPr>
      <w:sz w:val="20"/>
      <w:szCs w:val="20"/>
    </w:rPr>
  </w:style>
  <w:style w:type="paragraph" w:styleId="Kommentarthema">
    <w:name w:val="annotation subject"/>
    <w:basedOn w:val="Kommentartext"/>
    <w:next w:val="Kommentartext"/>
    <w:link w:val="KommentarthemaZchn"/>
    <w:uiPriority w:val="99"/>
    <w:semiHidden/>
    <w:unhideWhenUsed/>
    <w:rsid w:val="00DD1C30"/>
    <w:rPr>
      <w:b/>
      <w:bCs/>
    </w:rPr>
  </w:style>
  <w:style w:type="character" w:customStyle="1" w:styleId="KommentarthemaZchn">
    <w:name w:val="Kommentarthema Zchn"/>
    <w:basedOn w:val="KommentartextZchn"/>
    <w:link w:val="Kommentarthema"/>
    <w:uiPriority w:val="99"/>
    <w:semiHidden/>
    <w:rsid w:val="00DD1C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33E55-2962-4858-963D-AF4FBD2E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Berenberg Bank</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Tabea</dc:creator>
  <cp:keywords/>
  <dc:description/>
  <cp:lastModifiedBy>Weber, Tabea</cp:lastModifiedBy>
  <cp:revision>9</cp:revision>
  <dcterms:created xsi:type="dcterms:W3CDTF">2022-10-25T08:51:00Z</dcterms:created>
  <dcterms:modified xsi:type="dcterms:W3CDTF">2022-10-27T16:27:00Z</dcterms:modified>
</cp:coreProperties>
</file>