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447" w:rsidRDefault="00FE6447" w:rsidP="00FE6447"/>
    <w:p w:rsidR="00FE6447" w:rsidRDefault="00FE6447" w:rsidP="00FE6447">
      <w:pPr>
        <w:numPr>
          <w:ilvl w:val="0"/>
          <w:numId w:val="14"/>
        </w:numPr>
        <w:rPr>
          <w:rFonts w:ascii="Calibri" w:eastAsia="Times New Roman" w:hAnsi="Calibri"/>
          <w:sz w:val="22"/>
          <w:szCs w:val="22"/>
          <w:lang w:val="en-US"/>
        </w:rPr>
      </w:pPr>
      <w:r>
        <w:rPr>
          <w:rFonts w:ascii="Calibri" w:eastAsia="Times New Roman" w:hAnsi="Calibri"/>
          <w:sz w:val="22"/>
          <w:szCs w:val="22"/>
          <w:lang w:val="en-US"/>
        </w:rPr>
        <w:t>KIID and factsheet/prospectus</w:t>
      </w:r>
    </w:p>
    <w:p w:rsidR="00FE6447" w:rsidRDefault="00FE6447" w:rsidP="00FE6447">
      <w:pPr>
        <w:numPr>
          <w:ilvl w:val="1"/>
          <w:numId w:val="14"/>
        </w:numPr>
        <w:rPr>
          <w:rFonts w:ascii="Calibri" w:eastAsia="Times New Roman" w:hAnsi="Calibri"/>
          <w:sz w:val="22"/>
          <w:szCs w:val="22"/>
          <w:lang w:val="en-US"/>
        </w:rPr>
      </w:pPr>
      <w:r>
        <w:rPr>
          <w:rFonts w:ascii="Calibri" w:eastAsia="Times New Roman" w:hAnsi="Calibri"/>
          <w:color w:val="00B0F0"/>
          <w:sz w:val="22"/>
          <w:szCs w:val="22"/>
          <w:lang w:val="en-US"/>
        </w:rPr>
        <w:t>ESG Advantage is not a UCITS fund, so we do not maintain a formal KIID.</w:t>
      </w:r>
    </w:p>
    <w:p w:rsidR="00FE6447" w:rsidRDefault="00FE6447" w:rsidP="00FE6447">
      <w:pPr>
        <w:numPr>
          <w:ilvl w:val="1"/>
          <w:numId w:val="14"/>
        </w:numPr>
        <w:rPr>
          <w:rFonts w:ascii="Calibri" w:eastAsia="Times New Roman" w:hAnsi="Calibri"/>
          <w:sz w:val="22"/>
          <w:szCs w:val="22"/>
          <w:lang w:val="en-US"/>
        </w:rPr>
      </w:pPr>
      <w:r>
        <w:rPr>
          <w:rFonts w:ascii="Calibri" w:eastAsia="Times New Roman" w:hAnsi="Calibri"/>
          <w:color w:val="00B0F0"/>
          <w:sz w:val="22"/>
          <w:szCs w:val="22"/>
          <w:lang w:val="en-US"/>
        </w:rPr>
        <w:t>In its place, please find our current Factsheet and presentation deck attached.</w:t>
      </w:r>
    </w:p>
    <w:p w:rsidR="00FE6447" w:rsidRDefault="00FE6447" w:rsidP="00FE6447">
      <w:pPr>
        <w:numPr>
          <w:ilvl w:val="0"/>
          <w:numId w:val="14"/>
        </w:numPr>
        <w:rPr>
          <w:rFonts w:ascii="Calibri" w:eastAsia="Times New Roman" w:hAnsi="Calibri"/>
          <w:sz w:val="22"/>
          <w:szCs w:val="22"/>
          <w:lang w:val="en-US"/>
        </w:rPr>
      </w:pPr>
      <w:r>
        <w:rPr>
          <w:rFonts w:ascii="Calibri" w:eastAsia="Times New Roman" w:hAnsi="Calibri"/>
          <w:sz w:val="22"/>
          <w:szCs w:val="22"/>
          <w:lang w:val="en-US"/>
        </w:rPr>
        <w:t>Impact report (where available)</w:t>
      </w:r>
    </w:p>
    <w:p w:rsidR="00FE6447" w:rsidRDefault="00FE6447" w:rsidP="00FE6447">
      <w:pPr>
        <w:numPr>
          <w:ilvl w:val="1"/>
          <w:numId w:val="14"/>
        </w:numPr>
        <w:rPr>
          <w:rFonts w:ascii="Calibri" w:eastAsia="Times New Roman" w:hAnsi="Calibri"/>
          <w:sz w:val="22"/>
          <w:szCs w:val="22"/>
          <w:lang w:val="en-US"/>
        </w:rPr>
      </w:pPr>
      <w:proofErr w:type="spellStart"/>
      <w:r>
        <w:rPr>
          <w:rFonts w:ascii="Calibri" w:eastAsia="Times New Roman" w:hAnsi="Calibri"/>
          <w:color w:val="00B0F0"/>
          <w:sz w:val="22"/>
          <w:szCs w:val="22"/>
          <w:lang w:val="en-US"/>
        </w:rPr>
        <w:t>Welton</w:t>
      </w:r>
      <w:proofErr w:type="spellEnd"/>
      <w:r>
        <w:rPr>
          <w:rFonts w:ascii="Calibri" w:eastAsia="Times New Roman" w:hAnsi="Calibri"/>
          <w:color w:val="00B0F0"/>
          <w:sz w:val="22"/>
          <w:szCs w:val="22"/>
          <w:lang w:val="en-US"/>
        </w:rPr>
        <w:t xml:space="preserve"> calculates ESG Advantage’s ESG score relative to the benchmark S&amp;P 500 Index and shares these results every month on the front page of our factsheet. (See attached, and repeated below).</w:t>
      </w:r>
    </w:p>
    <w:p w:rsidR="00FE6447" w:rsidRDefault="00FE6447" w:rsidP="00FE6447">
      <w:pPr>
        <w:numPr>
          <w:ilvl w:val="0"/>
          <w:numId w:val="14"/>
        </w:numPr>
        <w:rPr>
          <w:rFonts w:ascii="Calibri" w:eastAsia="Times New Roman" w:hAnsi="Calibri"/>
          <w:sz w:val="22"/>
          <w:szCs w:val="22"/>
          <w:lang w:val="en-US"/>
        </w:rPr>
      </w:pPr>
      <w:r>
        <w:rPr>
          <w:rFonts w:ascii="Calibri" w:eastAsia="Times New Roman" w:hAnsi="Calibri"/>
          <w:noProof/>
          <w:sz w:val="22"/>
          <w:szCs w:val="22"/>
        </w:rPr>
        <w:drawing>
          <wp:inline distT="0" distB="0" distL="0" distR="0">
            <wp:extent cx="7394575" cy="2703195"/>
            <wp:effectExtent l="19050" t="0" r="0" b="0"/>
            <wp:docPr id="48" name="Picture 2" descr="cid:image003.png@01D92B2F.B97E2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92B2F.B97E26D0"/>
                    <pic:cNvPicPr>
                      <a:picLocks noChangeAspect="1" noChangeArrowheads="1"/>
                    </pic:cNvPicPr>
                  </pic:nvPicPr>
                  <pic:blipFill>
                    <a:blip r:embed="rId6" r:link="rId7" cstate="print"/>
                    <a:srcRect/>
                    <a:stretch>
                      <a:fillRect/>
                    </a:stretch>
                  </pic:blipFill>
                  <pic:spPr bwMode="auto">
                    <a:xfrm>
                      <a:off x="0" y="0"/>
                      <a:ext cx="7394575" cy="2703195"/>
                    </a:xfrm>
                    <a:prstGeom prst="rect">
                      <a:avLst/>
                    </a:prstGeom>
                    <a:noFill/>
                    <a:ln w="9525">
                      <a:noFill/>
                      <a:miter lim="800000"/>
                      <a:headEnd/>
                      <a:tailEnd/>
                    </a:ln>
                  </pic:spPr>
                </pic:pic>
              </a:graphicData>
            </a:graphic>
          </wp:inline>
        </w:drawing>
      </w:r>
    </w:p>
    <w:p w:rsidR="00FE6447" w:rsidRDefault="00FE6447" w:rsidP="00FE6447">
      <w:pPr>
        <w:numPr>
          <w:ilvl w:val="1"/>
          <w:numId w:val="14"/>
        </w:numPr>
        <w:rPr>
          <w:rFonts w:ascii="Calibri" w:eastAsia="Times New Roman" w:hAnsi="Calibri"/>
          <w:sz w:val="22"/>
          <w:szCs w:val="22"/>
          <w:lang w:val="en-US"/>
        </w:rPr>
      </w:pPr>
      <w:r>
        <w:rPr>
          <w:rFonts w:ascii="Calibri" w:eastAsia="Times New Roman" w:hAnsi="Calibri"/>
          <w:color w:val="00B0F0"/>
          <w:sz w:val="22"/>
          <w:szCs w:val="22"/>
          <w:lang w:val="en-US"/>
        </w:rPr>
        <w:t xml:space="preserve">As one of the first alternative multi-asset ESG programs created, </w:t>
      </w:r>
      <w:proofErr w:type="spellStart"/>
      <w:r>
        <w:rPr>
          <w:rFonts w:ascii="Calibri" w:eastAsia="Times New Roman" w:hAnsi="Calibri"/>
          <w:color w:val="00B0F0"/>
          <w:sz w:val="22"/>
          <w:szCs w:val="22"/>
          <w:lang w:val="en-US"/>
        </w:rPr>
        <w:t>Welton</w:t>
      </w:r>
      <w:proofErr w:type="spellEnd"/>
      <w:r>
        <w:rPr>
          <w:rFonts w:ascii="Calibri" w:eastAsia="Times New Roman" w:hAnsi="Calibri"/>
          <w:color w:val="00B0F0"/>
          <w:sz w:val="22"/>
          <w:szCs w:val="22"/>
          <w:lang w:val="en-US"/>
        </w:rPr>
        <w:t xml:space="preserve"> had to innovate to develop an ESG scoring methodology that could evaluate all four major asset classes: commodities, currencies, equity indices, and fixed income.</w:t>
      </w:r>
    </w:p>
    <w:p w:rsidR="00FE6447" w:rsidRDefault="00FE6447" w:rsidP="00FE6447">
      <w:pPr>
        <w:numPr>
          <w:ilvl w:val="1"/>
          <w:numId w:val="14"/>
        </w:numPr>
        <w:rPr>
          <w:rFonts w:ascii="Calibri" w:eastAsia="Times New Roman" w:hAnsi="Calibri"/>
          <w:sz w:val="22"/>
          <w:szCs w:val="22"/>
          <w:lang w:val="en-US"/>
        </w:rPr>
      </w:pPr>
      <w:r>
        <w:rPr>
          <w:rFonts w:ascii="Calibri" w:eastAsia="Times New Roman" w:hAnsi="Calibri"/>
          <w:color w:val="00B0F0"/>
          <w:sz w:val="22"/>
          <w:szCs w:val="22"/>
          <w:lang w:val="en-US"/>
        </w:rPr>
        <w:t xml:space="preserve">To construct our portfolio, we then needed to normalize these scores for comparison, answering previously </w:t>
      </w:r>
      <w:proofErr w:type="spellStart"/>
      <w:r>
        <w:rPr>
          <w:rFonts w:ascii="Calibri" w:eastAsia="Times New Roman" w:hAnsi="Calibri"/>
          <w:color w:val="00B0F0"/>
          <w:sz w:val="22"/>
          <w:szCs w:val="22"/>
          <w:lang w:val="en-US"/>
        </w:rPr>
        <w:t>uncontemplated</w:t>
      </w:r>
      <w:proofErr w:type="spellEnd"/>
      <w:r>
        <w:rPr>
          <w:rFonts w:ascii="Calibri" w:eastAsia="Times New Roman" w:hAnsi="Calibri"/>
          <w:color w:val="00B0F0"/>
          <w:sz w:val="22"/>
          <w:szCs w:val="22"/>
          <w:lang w:val="en-US"/>
        </w:rPr>
        <w:t xml:space="preserve"> questions, such as, “</w:t>
      </w:r>
      <w:proofErr w:type="gramStart"/>
      <w:r>
        <w:rPr>
          <w:rFonts w:ascii="Calibri" w:eastAsia="Times New Roman" w:hAnsi="Calibri"/>
          <w:color w:val="00B0F0"/>
          <w:sz w:val="22"/>
          <w:szCs w:val="22"/>
          <w:lang w:val="en-US"/>
        </w:rPr>
        <w:t>which</w:t>
      </w:r>
      <w:proofErr w:type="gramEnd"/>
      <w:r>
        <w:rPr>
          <w:rFonts w:ascii="Calibri" w:eastAsia="Times New Roman" w:hAnsi="Calibri"/>
          <w:color w:val="00B0F0"/>
          <w:sz w:val="22"/>
          <w:szCs w:val="22"/>
          <w:lang w:val="en-US"/>
        </w:rPr>
        <w:t xml:space="preserve"> is more ESG, Soy Beans or the Mexican Peso?” This transparent and rules-based approach is consistent with our firm’s 30-year history as a systematic macro investor, but it took considerable innovation on our part to pioneer unexplored asset classes within ESG investing.</w:t>
      </w:r>
    </w:p>
    <w:p w:rsidR="00FE6447" w:rsidRDefault="00FE6447" w:rsidP="00FE6447">
      <w:pPr>
        <w:numPr>
          <w:ilvl w:val="1"/>
          <w:numId w:val="14"/>
        </w:numPr>
        <w:rPr>
          <w:rFonts w:ascii="Calibri" w:eastAsia="Times New Roman" w:hAnsi="Calibri"/>
          <w:sz w:val="22"/>
          <w:szCs w:val="22"/>
          <w:lang w:val="en-US"/>
        </w:rPr>
      </w:pPr>
      <w:r>
        <w:rPr>
          <w:rFonts w:ascii="Calibri" w:eastAsia="Times New Roman" w:hAnsi="Calibri"/>
          <w:color w:val="00B0F0"/>
          <w:sz w:val="22"/>
          <w:szCs w:val="22"/>
          <w:lang w:val="en-US"/>
        </w:rPr>
        <w:t>An overview of these two processes (instrument scoring and complex portfolio ESG scoring) is described in the attached two whitepapers.</w:t>
      </w:r>
      <w:r>
        <w:rPr>
          <w:rFonts w:ascii="Calibri" w:eastAsia="Times New Roman" w:hAnsi="Calibri"/>
          <w:sz w:val="22"/>
          <w:szCs w:val="22"/>
          <w:lang w:val="en-US"/>
        </w:rPr>
        <w:t xml:space="preserve"> </w:t>
      </w:r>
    </w:p>
    <w:p w:rsidR="00FE6447" w:rsidRDefault="00FE6447" w:rsidP="00FE6447">
      <w:pPr>
        <w:numPr>
          <w:ilvl w:val="0"/>
          <w:numId w:val="14"/>
        </w:numPr>
        <w:rPr>
          <w:rFonts w:ascii="Calibri" w:eastAsia="Times New Roman" w:hAnsi="Calibri"/>
          <w:sz w:val="22"/>
          <w:szCs w:val="22"/>
          <w:lang w:val="en-US"/>
        </w:rPr>
      </w:pPr>
      <w:r>
        <w:rPr>
          <w:rFonts w:ascii="Calibri" w:eastAsia="Times New Roman" w:hAnsi="Calibri"/>
          <w:sz w:val="22"/>
          <w:szCs w:val="22"/>
          <w:lang w:val="en-US"/>
        </w:rPr>
        <w:t>Most recent annual report (or semi-annual report)</w:t>
      </w:r>
    </w:p>
    <w:p w:rsidR="00FE6447" w:rsidRDefault="00FE6447" w:rsidP="00FE6447">
      <w:pPr>
        <w:numPr>
          <w:ilvl w:val="1"/>
          <w:numId w:val="14"/>
        </w:numPr>
        <w:rPr>
          <w:rFonts w:ascii="Calibri" w:eastAsia="Times New Roman" w:hAnsi="Calibri"/>
          <w:color w:val="00B0F0"/>
          <w:sz w:val="22"/>
          <w:szCs w:val="22"/>
          <w:lang w:val="en-US"/>
        </w:rPr>
      </w:pPr>
      <w:r>
        <w:rPr>
          <w:rFonts w:ascii="Calibri" w:eastAsia="Times New Roman" w:hAnsi="Calibri"/>
          <w:color w:val="00B0F0"/>
          <w:sz w:val="22"/>
          <w:szCs w:val="22"/>
          <w:lang w:val="en-US"/>
        </w:rPr>
        <w:t>We do not produce an annual report.</w:t>
      </w:r>
    </w:p>
    <w:p w:rsidR="00FE6447" w:rsidRDefault="00FE6447" w:rsidP="00FE6447">
      <w:pPr>
        <w:numPr>
          <w:ilvl w:val="1"/>
          <w:numId w:val="14"/>
        </w:numPr>
        <w:rPr>
          <w:rFonts w:ascii="Calibri" w:eastAsia="Times New Roman" w:hAnsi="Calibri"/>
          <w:color w:val="00B0F0"/>
          <w:sz w:val="22"/>
          <w:szCs w:val="22"/>
          <w:lang w:val="en-US"/>
        </w:rPr>
      </w:pPr>
      <w:r>
        <w:rPr>
          <w:rFonts w:ascii="Calibri" w:eastAsia="Times New Roman" w:hAnsi="Calibri"/>
          <w:color w:val="00B0F0"/>
          <w:sz w:val="22"/>
          <w:szCs w:val="22"/>
          <w:lang w:val="en-US"/>
        </w:rPr>
        <w:t>Instead, we provide detailed market/trading commentaries and data updates in our monthly factsheets.</w:t>
      </w:r>
    </w:p>
    <w:p w:rsidR="00FE6447" w:rsidRDefault="00FE6447" w:rsidP="00FE6447">
      <w:pPr>
        <w:numPr>
          <w:ilvl w:val="0"/>
          <w:numId w:val="14"/>
        </w:numPr>
        <w:rPr>
          <w:rFonts w:ascii="Calibri" w:eastAsia="Times New Roman" w:hAnsi="Calibri"/>
          <w:sz w:val="22"/>
          <w:szCs w:val="22"/>
          <w:lang w:val="en-US"/>
        </w:rPr>
      </w:pPr>
      <w:r>
        <w:rPr>
          <w:rFonts w:ascii="Calibri" w:eastAsia="Times New Roman" w:hAnsi="Calibri"/>
          <w:sz w:val="22"/>
          <w:szCs w:val="22"/>
          <w:lang w:val="en-US"/>
        </w:rPr>
        <w:lastRenderedPageBreak/>
        <w:t>Monthly total net returns after fees and costs since inception as well as the total monthly return on the fund’s benchmark</w:t>
      </w:r>
    </w:p>
    <w:p w:rsidR="00FE6447" w:rsidRDefault="00FE6447" w:rsidP="00FE6447">
      <w:pPr>
        <w:numPr>
          <w:ilvl w:val="1"/>
          <w:numId w:val="14"/>
        </w:numPr>
        <w:rPr>
          <w:rFonts w:ascii="Calibri" w:eastAsia="Times New Roman" w:hAnsi="Calibri"/>
          <w:color w:val="00B0F0"/>
          <w:sz w:val="22"/>
          <w:szCs w:val="22"/>
          <w:lang w:val="en-US"/>
        </w:rPr>
      </w:pPr>
      <w:r>
        <w:rPr>
          <w:rFonts w:ascii="Calibri" w:eastAsia="Times New Roman" w:hAnsi="Calibri"/>
          <w:color w:val="00B0F0"/>
          <w:sz w:val="22"/>
          <w:szCs w:val="22"/>
          <w:lang w:val="en-US"/>
        </w:rPr>
        <w:t>See the attached Excel return file.</w:t>
      </w:r>
    </w:p>
    <w:p w:rsidR="00FE6447" w:rsidRDefault="00FE6447" w:rsidP="00FE6447">
      <w:pPr>
        <w:numPr>
          <w:ilvl w:val="1"/>
          <w:numId w:val="14"/>
        </w:numPr>
        <w:rPr>
          <w:rFonts w:ascii="Calibri" w:eastAsia="Times New Roman" w:hAnsi="Calibri"/>
          <w:color w:val="00B0F0"/>
          <w:sz w:val="22"/>
          <w:szCs w:val="22"/>
          <w:lang w:val="en-US"/>
        </w:rPr>
      </w:pPr>
      <w:r>
        <w:rPr>
          <w:rFonts w:ascii="Calibri" w:eastAsia="Times New Roman" w:hAnsi="Calibri"/>
          <w:color w:val="00B0F0"/>
          <w:sz w:val="22"/>
          <w:szCs w:val="22"/>
          <w:lang w:val="en-US"/>
        </w:rPr>
        <w:t>Summary table is repeated below, and spans the period of June 2020 (inception) through Dec 2022.</w:t>
      </w:r>
    </w:p>
    <w:p w:rsidR="00FE6447" w:rsidRDefault="00FE6447" w:rsidP="00FE6447">
      <w:pPr>
        <w:numPr>
          <w:ilvl w:val="2"/>
          <w:numId w:val="14"/>
        </w:numPr>
        <w:rPr>
          <w:rFonts w:ascii="Calibri" w:eastAsia="Times New Roman" w:hAnsi="Calibri"/>
          <w:sz w:val="22"/>
          <w:szCs w:val="22"/>
          <w:lang w:val="en-US"/>
        </w:rPr>
      </w:pPr>
      <w:r>
        <w:rPr>
          <w:rFonts w:ascii="Calibri" w:eastAsia="Times New Roman" w:hAnsi="Calibri"/>
          <w:noProof/>
          <w:sz w:val="22"/>
          <w:szCs w:val="22"/>
        </w:rPr>
        <w:drawing>
          <wp:inline distT="0" distB="0" distL="0" distR="0">
            <wp:extent cx="3710305" cy="2266315"/>
            <wp:effectExtent l="19050" t="0" r="4445" b="0"/>
            <wp:docPr id="49" name="Picture 1" descr="cid:image006.png@01D92B2F.B97E2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92B2F.B97E26D0"/>
                    <pic:cNvPicPr>
                      <a:picLocks noChangeAspect="1" noChangeArrowheads="1"/>
                    </pic:cNvPicPr>
                  </pic:nvPicPr>
                  <pic:blipFill>
                    <a:blip r:embed="rId8" r:link="rId9" cstate="print"/>
                    <a:srcRect/>
                    <a:stretch>
                      <a:fillRect/>
                    </a:stretch>
                  </pic:blipFill>
                  <pic:spPr bwMode="auto">
                    <a:xfrm>
                      <a:off x="0" y="0"/>
                      <a:ext cx="3710305" cy="2266315"/>
                    </a:xfrm>
                    <a:prstGeom prst="rect">
                      <a:avLst/>
                    </a:prstGeom>
                    <a:noFill/>
                    <a:ln w="9525">
                      <a:noFill/>
                      <a:miter lim="800000"/>
                      <a:headEnd/>
                      <a:tailEnd/>
                    </a:ln>
                  </pic:spPr>
                </pic:pic>
              </a:graphicData>
            </a:graphic>
          </wp:inline>
        </w:drawing>
      </w:r>
    </w:p>
    <w:p w:rsidR="00FE6447" w:rsidRDefault="00FE6447" w:rsidP="00FE6447">
      <w:pPr>
        <w:rPr>
          <w:rFonts w:ascii="Calibri" w:hAnsi="Calibri"/>
          <w:sz w:val="22"/>
          <w:szCs w:val="22"/>
          <w:lang w:val="en-US"/>
        </w:rPr>
      </w:pPr>
    </w:p>
    <w:p w:rsidR="00FE6447" w:rsidRDefault="00FE6447" w:rsidP="00FE6447">
      <w:pPr>
        <w:rPr>
          <w:rFonts w:ascii="Calibri" w:hAnsi="Calibri"/>
          <w:sz w:val="22"/>
          <w:szCs w:val="22"/>
          <w:lang w:val="en-US"/>
        </w:rPr>
      </w:pPr>
    </w:p>
    <w:p w:rsidR="00FE6447" w:rsidRDefault="00FE6447" w:rsidP="00FE6447">
      <w:pPr>
        <w:rPr>
          <w:rFonts w:ascii="Calibri" w:hAnsi="Calibri"/>
          <w:color w:val="000080"/>
          <w:sz w:val="18"/>
          <w:szCs w:val="18"/>
          <w:lang w:val="en-US"/>
        </w:rPr>
      </w:pPr>
      <w:r>
        <w:rPr>
          <w:rFonts w:ascii="Calibri" w:hAnsi="Calibri"/>
          <w:color w:val="000080"/>
          <w:sz w:val="18"/>
          <w:szCs w:val="18"/>
          <w:lang w:val="en-US"/>
        </w:rPr>
        <w:t>________________________________</w:t>
      </w:r>
      <w:r>
        <w:rPr>
          <w:rFonts w:ascii="Calibri" w:hAnsi="Calibri"/>
          <w:color w:val="000080"/>
          <w:sz w:val="18"/>
          <w:szCs w:val="18"/>
          <w:lang w:val="en-US"/>
        </w:rPr>
        <w:br/>
      </w:r>
      <w:r>
        <w:rPr>
          <w:rFonts w:ascii="Calibri" w:hAnsi="Calibri"/>
          <w:b/>
          <w:bCs/>
          <w:color w:val="000080"/>
          <w:sz w:val="18"/>
          <w:szCs w:val="18"/>
          <w:lang w:val="en-US"/>
        </w:rPr>
        <w:t>Christopher Keenan</w:t>
      </w:r>
      <w:r>
        <w:rPr>
          <w:rFonts w:ascii="Calibri" w:hAnsi="Calibri"/>
          <w:color w:val="000080"/>
          <w:sz w:val="18"/>
          <w:szCs w:val="18"/>
          <w:lang w:val="en-US"/>
        </w:rPr>
        <w:t xml:space="preserve"> </w:t>
      </w:r>
      <w:r>
        <w:rPr>
          <w:rFonts w:ascii="Calibri" w:hAnsi="Calibri"/>
          <w:color w:val="000080"/>
          <w:sz w:val="18"/>
          <w:szCs w:val="18"/>
          <w:lang w:val="en-US"/>
        </w:rPr>
        <w:br/>
        <w:t>Director of Marketing</w:t>
      </w:r>
      <w:r>
        <w:rPr>
          <w:rFonts w:ascii="Calibri" w:hAnsi="Calibri"/>
          <w:color w:val="000080"/>
          <w:sz w:val="18"/>
          <w:szCs w:val="18"/>
          <w:lang w:val="en-US"/>
        </w:rPr>
        <w:br/>
      </w:r>
      <w:proofErr w:type="spellStart"/>
      <w:r>
        <w:rPr>
          <w:rFonts w:ascii="Calibri" w:hAnsi="Calibri"/>
          <w:color w:val="000080"/>
          <w:sz w:val="18"/>
          <w:szCs w:val="18"/>
          <w:lang w:val="en-US"/>
        </w:rPr>
        <w:t>Welton</w:t>
      </w:r>
      <w:proofErr w:type="spellEnd"/>
      <w:r>
        <w:rPr>
          <w:rFonts w:ascii="Calibri" w:hAnsi="Calibri"/>
          <w:color w:val="000080"/>
          <w:sz w:val="18"/>
          <w:szCs w:val="18"/>
          <w:lang w:val="en-US"/>
        </w:rPr>
        <w:t xml:space="preserve"> Investment Partners </w:t>
      </w:r>
      <w:proofErr w:type="gramStart"/>
      <w:r>
        <w:rPr>
          <w:rFonts w:ascii="Calibri" w:hAnsi="Calibri"/>
          <w:color w:val="000080"/>
          <w:sz w:val="18"/>
          <w:szCs w:val="18"/>
          <w:lang w:val="en-US"/>
        </w:rPr>
        <w:t>LLC</w:t>
      </w:r>
      <w:proofErr w:type="gramEnd"/>
      <w:r>
        <w:rPr>
          <w:rFonts w:ascii="Calibri" w:hAnsi="Calibri"/>
          <w:color w:val="000080"/>
          <w:sz w:val="18"/>
          <w:szCs w:val="18"/>
          <w:lang w:val="en-US"/>
        </w:rPr>
        <w:br/>
        <w:t>(831) 620-6607</w:t>
      </w:r>
      <w:r>
        <w:rPr>
          <w:rFonts w:ascii="Calibri" w:hAnsi="Calibri"/>
          <w:color w:val="000080"/>
          <w:sz w:val="18"/>
          <w:szCs w:val="18"/>
          <w:lang w:val="en-US"/>
        </w:rPr>
        <w:br/>
      </w:r>
      <w:hyperlink r:id="rId10" w:history="1">
        <w:r>
          <w:rPr>
            <w:rStyle w:val="Hyperlink"/>
            <w:rFonts w:ascii="Calibri" w:hAnsi="Calibri"/>
            <w:color w:val="0000FF"/>
            <w:sz w:val="18"/>
            <w:szCs w:val="18"/>
            <w:lang w:val="en-US"/>
          </w:rPr>
          <w:t>ckeenan@welton.com</w:t>
        </w:r>
      </w:hyperlink>
    </w:p>
    <w:p w:rsidR="00FE6447" w:rsidRDefault="00FE6447" w:rsidP="00FE6447">
      <w:pPr>
        <w:rPr>
          <w:rFonts w:ascii="Calibri" w:hAnsi="Calibri"/>
          <w:color w:val="000080"/>
          <w:sz w:val="18"/>
          <w:szCs w:val="18"/>
          <w:lang w:val="en-US"/>
        </w:rPr>
      </w:pPr>
    </w:p>
    <w:p w:rsidR="00FE6447" w:rsidRDefault="00FE6447" w:rsidP="00FE6447">
      <w:pPr>
        <w:rPr>
          <w:rFonts w:ascii="Calibri" w:hAnsi="Calibri"/>
          <w:color w:val="000080"/>
          <w:sz w:val="18"/>
          <w:szCs w:val="18"/>
          <w:lang w:val="en-US"/>
        </w:rPr>
      </w:pPr>
      <w:r>
        <w:rPr>
          <w:rFonts w:ascii="Calibri" w:hAnsi="Calibri"/>
          <w:color w:val="000080"/>
          <w:sz w:val="18"/>
          <w:szCs w:val="18"/>
          <w:lang w:val="en-US"/>
        </w:rPr>
        <w:t>THE INFORMATION CONTAINED HEREIN IS NOT FOR RETAIL INVESTORS BUT INTENDED FOR USE BY INSTITUTIONAL AND PROFESSIONAL INVESTORS INCLUDING “QUALIFIED PURCHASER” WITHIN THE MEANING OF THE 1940 ACT WHICH ALSO QUALIFIES IT FOR THE STATUS OF “QUALIFIED ELIGIBLE PERSON” UNDER CFTC REGULATION 4.7. THE TRADING PROGRAM DESCRIBED HEREIN IS SPECULATIVE, INVOLVES SUBSTANTIAL RISK AND IS NOT SUITABLE FOR ALL INVESTORS.  NO REPRESENTATION IS BEING MADE THAT ANY INVESTOR WILL OR IS LIKELY TO ACHIEVE SIMILAR RESULTS. THIS DOCUMENT IS NOT A SOLICITATION FOR INVESTMENT.  SUCH INVESTMENT IS ONLY OFFERED ON THE BASIS OF INFORMATION AND REPRESENTATIONS MADE IN THE APPROPRIATE OFFERING DOCUMENTATION. PAST PERFORMANCE IS NOT NECESSARILY INDICATIVE OF FUTURE RESULTS.</w:t>
      </w:r>
    </w:p>
    <w:p w:rsidR="00FE6447" w:rsidRDefault="00FE6447" w:rsidP="00FE6447">
      <w:pPr>
        <w:rPr>
          <w:rFonts w:ascii="Calibri" w:hAnsi="Calibri"/>
          <w:color w:val="000080"/>
          <w:sz w:val="18"/>
          <w:szCs w:val="18"/>
          <w:lang w:val="en-US"/>
        </w:rPr>
      </w:pPr>
    </w:p>
    <w:p w:rsidR="00FE6447" w:rsidRDefault="00FE6447" w:rsidP="00FE6447">
      <w:pPr>
        <w:rPr>
          <w:rFonts w:ascii="Calibri" w:hAnsi="Calibri"/>
          <w:color w:val="000080"/>
          <w:sz w:val="18"/>
          <w:szCs w:val="18"/>
          <w:lang w:val="en-US"/>
        </w:rPr>
      </w:pPr>
      <w:r>
        <w:rPr>
          <w:rFonts w:ascii="Calibri" w:hAnsi="Calibri"/>
          <w:color w:val="000080"/>
          <w:sz w:val="18"/>
          <w:szCs w:val="18"/>
          <w:lang w:val="en-US"/>
        </w:rPr>
        <w:t>THE CONTENTS OF THIS MESSAGE, TOGETHER WITH ANY ATTACHMENTS, ARE INTENDED ONLY FOR THE USE OF THE INDIVIDUAL OR ENTITY TO WHICH THEY ARE ADDRESSED. IF YOU ARE NOT THE INTENDED RECIPIENT, YOU ARE HEREBY NOTIFIED THAT ANY DISSEMINATION, DISTRIBUTION, OR COPYING OF THIS MESSAGE, OR ANY ATTACHMENT, IS STRICTLY PROHIBITED. IF YOU HAVE RECEIVED THIS MESSAGE IN ERROR, PLEASE NOTIFY THE ORIGINAL SENDER.</w:t>
      </w:r>
    </w:p>
    <w:p w:rsidR="00FE6447" w:rsidRDefault="00FE6447" w:rsidP="00FE6447">
      <w:pPr>
        <w:rPr>
          <w:rFonts w:ascii="Calibri" w:hAnsi="Calibri"/>
          <w:sz w:val="22"/>
          <w:szCs w:val="22"/>
          <w:lang w:val="en-US"/>
        </w:rPr>
      </w:pPr>
    </w:p>
    <w:p w:rsidR="002F7F8C" w:rsidRPr="00FE6447" w:rsidRDefault="002F7F8C" w:rsidP="00FE6447"/>
    <w:sectPr w:rsidR="002F7F8C" w:rsidRPr="00FE6447" w:rsidSect="00FE6447">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DF2"/>
    <w:multiLevelType w:val="multilevel"/>
    <w:tmpl w:val="CDD03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350C54"/>
    <w:multiLevelType w:val="multilevel"/>
    <w:tmpl w:val="3A6EE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A2E7E4C"/>
    <w:multiLevelType w:val="multilevel"/>
    <w:tmpl w:val="0D362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CB803CA"/>
    <w:multiLevelType w:val="multilevel"/>
    <w:tmpl w:val="2700B1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F47ACA"/>
    <w:multiLevelType w:val="multilevel"/>
    <w:tmpl w:val="F280AC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8B43CFE"/>
    <w:multiLevelType w:val="multilevel"/>
    <w:tmpl w:val="46126D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C73752B"/>
    <w:multiLevelType w:val="multilevel"/>
    <w:tmpl w:val="A4E8E8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EBA5A3C"/>
    <w:multiLevelType w:val="multilevel"/>
    <w:tmpl w:val="DA34A9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93950DE"/>
    <w:multiLevelType w:val="multilevel"/>
    <w:tmpl w:val="23DC02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AD51108"/>
    <w:multiLevelType w:val="multilevel"/>
    <w:tmpl w:val="15D03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E855FE5"/>
    <w:multiLevelType w:val="multilevel"/>
    <w:tmpl w:val="3B9EA71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85E3362"/>
    <w:multiLevelType w:val="multilevel"/>
    <w:tmpl w:val="083080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9582232"/>
    <w:multiLevelType w:val="multilevel"/>
    <w:tmpl w:val="FE8AB33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F3D3FF2"/>
    <w:multiLevelType w:val="multilevel"/>
    <w:tmpl w:val="CD5A7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grammar="clean"/>
  <w:revisionView w:inkAnnotations="0"/>
  <w:defaultTabStop w:val="720"/>
  <w:drawingGridHorizontalSpacing w:val="120"/>
  <w:displayHorizontalDrawingGridEvery w:val="2"/>
  <w:characterSpacingControl w:val="doNotCompress"/>
  <w:compat/>
  <w:rsids>
    <w:rsidRoot w:val="002F156A"/>
    <w:rsid w:val="000077D2"/>
    <w:rsid w:val="0005563D"/>
    <w:rsid w:val="00064774"/>
    <w:rsid w:val="00087762"/>
    <w:rsid w:val="00145051"/>
    <w:rsid w:val="001D5368"/>
    <w:rsid w:val="00270893"/>
    <w:rsid w:val="002F156A"/>
    <w:rsid w:val="002F7F8C"/>
    <w:rsid w:val="00395EBB"/>
    <w:rsid w:val="003E1D27"/>
    <w:rsid w:val="003F1DD6"/>
    <w:rsid w:val="00405391"/>
    <w:rsid w:val="004402A0"/>
    <w:rsid w:val="005A658D"/>
    <w:rsid w:val="005B3471"/>
    <w:rsid w:val="0061125E"/>
    <w:rsid w:val="006672B9"/>
    <w:rsid w:val="006D01A2"/>
    <w:rsid w:val="00700626"/>
    <w:rsid w:val="00735549"/>
    <w:rsid w:val="00757126"/>
    <w:rsid w:val="008225CC"/>
    <w:rsid w:val="00826CDB"/>
    <w:rsid w:val="008A3E55"/>
    <w:rsid w:val="00A0238B"/>
    <w:rsid w:val="00AA1340"/>
    <w:rsid w:val="00AA2B81"/>
    <w:rsid w:val="00AD3AB7"/>
    <w:rsid w:val="00AF705B"/>
    <w:rsid w:val="00B55BEC"/>
    <w:rsid w:val="00BA25BD"/>
    <w:rsid w:val="00BE4D66"/>
    <w:rsid w:val="00C93F33"/>
    <w:rsid w:val="00CC7F9E"/>
    <w:rsid w:val="00D91BBC"/>
    <w:rsid w:val="00DC6118"/>
    <w:rsid w:val="00E67E6D"/>
    <w:rsid w:val="00E87CFA"/>
    <w:rsid w:val="00F131F2"/>
    <w:rsid w:val="00FA551C"/>
    <w:rsid w:val="00FC3FAA"/>
    <w:rsid w:val="00FE644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56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156A"/>
    <w:rPr>
      <w:color w:val="0563C1"/>
      <w:u w:val="single"/>
    </w:rPr>
  </w:style>
  <w:style w:type="paragraph" w:styleId="ListParagraph">
    <w:name w:val="List Paragraph"/>
    <w:basedOn w:val="Normal"/>
    <w:uiPriority w:val="34"/>
    <w:qFormat/>
    <w:rsid w:val="002F156A"/>
    <w:pPr>
      <w:spacing w:before="100" w:beforeAutospacing="1" w:after="100" w:afterAutospacing="1"/>
    </w:pPr>
  </w:style>
  <w:style w:type="paragraph" w:styleId="BalloonText">
    <w:name w:val="Balloon Text"/>
    <w:basedOn w:val="Normal"/>
    <w:link w:val="BalloonTextChar"/>
    <w:uiPriority w:val="99"/>
    <w:semiHidden/>
    <w:unhideWhenUsed/>
    <w:rsid w:val="00DC6118"/>
    <w:rPr>
      <w:rFonts w:ascii="Tahoma" w:hAnsi="Tahoma" w:cs="Tahoma"/>
      <w:sz w:val="16"/>
      <w:szCs w:val="16"/>
    </w:rPr>
  </w:style>
  <w:style w:type="character" w:customStyle="1" w:styleId="BalloonTextChar">
    <w:name w:val="Balloon Text Char"/>
    <w:basedOn w:val="DefaultParagraphFont"/>
    <w:link w:val="BalloonText"/>
    <w:uiPriority w:val="99"/>
    <w:semiHidden/>
    <w:rsid w:val="00DC6118"/>
    <w:rPr>
      <w:rFonts w:ascii="Tahoma" w:hAnsi="Tahoma" w:cs="Tahoma"/>
      <w:sz w:val="16"/>
      <w:szCs w:val="16"/>
      <w:lang w:eastAsia="en-GB"/>
    </w:rPr>
  </w:style>
  <w:style w:type="character" w:styleId="Strong">
    <w:name w:val="Strong"/>
    <w:basedOn w:val="DefaultParagraphFont"/>
    <w:uiPriority w:val="22"/>
    <w:qFormat/>
    <w:rsid w:val="00A0238B"/>
    <w:rPr>
      <w:b/>
      <w:bCs/>
    </w:rPr>
  </w:style>
  <w:style w:type="paragraph" w:customStyle="1" w:styleId="xmsolistparagraph">
    <w:name w:val="x_msolistparagraph"/>
    <w:basedOn w:val="Normal"/>
    <w:rsid w:val="00B55BEC"/>
    <w:pPr>
      <w:spacing w:before="100" w:beforeAutospacing="1" w:after="100" w:afterAutospacing="1"/>
    </w:pPr>
  </w:style>
  <w:style w:type="character" w:customStyle="1" w:styleId="xcontentpasted0">
    <w:name w:val="x_contentpasted0"/>
    <w:basedOn w:val="DefaultParagraphFont"/>
    <w:rsid w:val="00B55BEC"/>
  </w:style>
  <w:style w:type="character" w:customStyle="1" w:styleId="xmarku92pt0lp0">
    <w:name w:val="x_marku92pt0lp0"/>
    <w:basedOn w:val="DefaultParagraphFont"/>
    <w:rsid w:val="00B55BEC"/>
  </w:style>
  <w:style w:type="character" w:customStyle="1" w:styleId="contentpasted1">
    <w:name w:val="contentpasted1"/>
    <w:basedOn w:val="DefaultParagraphFont"/>
    <w:rsid w:val="00B55BEC"/>
  </w:style>
  <w:style w:type="character" w:customStyle="1" w:styleId="contentpasted2">
    <w:name w:val="contentpasted2"/>
    <w:basedOn w:val="DefaultParagraphFont"/>
    <w:rsid w:val="00B55BEC"/>
  </w:style>
  <w:style w:type="paragraph" w:customStyle="1" w:styleId="xxmsonormal">
    <w:name w:val="x_x_msonormal"/>
    <w:basedOn w:val="Normal"/>
    <w:rsid w:val="00FC3FAA"/>
    <w:rPr>
      <w:rFonts w:ascii="Calibri" w:hAnsi="Calibri"/>
      <w:sz w:val="22"/>
      <w:szCs w:val="22"/>
    </w:rPr>
  </w:style>
  <w:style w:type="paragraph" w:customStyle="1" w:styleId="xxmsolistparagraph">
    <w:name w:val="x_x_msolistparagraph"/>
    <w:basedOn w:val="Normal"/>
    <w:rsid w:val="00FC3FAA"/>
    <w:pPr>
      <w:spacing w:before="100" w:beforeAutospacing="1" w:after="100" w:afterAutospacing="1"/>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21266432">
      <w:bodyDiv w:val="1"/>
      <w:marLeft w:val="0"/>
      <w:marRight w:val="0"/>
      <w:marTop w:val="0"/>
      <w:marBottom w:val="0"/>
      <w:divBdr>
        <w:top w:val="none" w:sz="0" w:space="0" w:color="auto"/>
        <w:left w:val="none" w:sz="0" w:space="0" w:color="auto"/>
        <w:bottom w:val="none" w:sz="0" w:space="0" w:color="auto"/>
        <w:right w:val="none" w:sz="0" w:space="0" w:color="auto"/>
      </w:divBdr>
    </w:div>
    <w:div w:id="184558280">
      <w:bodyDiv w:val="1"/>
      <w:marLeft w:val="0"/>
      <w:marRight w:val="0"/>
      <w:marTop w:val="0"/>
      <w:marBottom w:val="0"/>
      <w:divBdr>
        <w:top w:val="none" w:sz="0" w:space="0" w:color="auto"/>
        <w:left w:val="none" w:sz="0" w:space="0" w:color="auto"/>
        <w:bottom w:val="none" w:sz="0" w:space="0" w:color="auto"/>
        <w:right w:val="none" w:sz="0" w:space="0" w:color="auto"/>
      </w:divBdr>
    </w:div>
    <w:div w:id="224730173">
      <w:bodyDiv w:val="1"/>
      <w:marLeft w:val="0"/>
      <w:marRight w:val="0"/>
      <w:marTop w:val="0"/>
      <w:marBottom w:val="0"/>
      <w:divBdr>
        <w:top w:val="none" w:sz="0" w:space="0" w:color="auto"/>
        <w:left w:val="none" w:sz="0" w:space="0" w:color="auto"/>
        <w:bottom w:val="none" w:sz="0" w:space="0" w:color="auto"/>
        <w:right w:val="none" w:sz="0" w:space="0" w:color="auto"/>
      </w:divBdr>
    </w:div>
    <w:div w:id="263460329">
      <w:bodyDiv w:val="1"/>
      <w:marLeft w:val="0"/>
      <w:marRight w:val="0"/>
      <w:marTop w:val="0"/>
      <w:marBottom w:val="0"/>
      <w:divBdr>
        <w:top w:val="none" w:sz="0" w:space="0" w:color="auto"/>
        <w:left w:val="none" w:sz="0" w:space="0" w:color="auto"/>
        <w:bottom w:val="none" w:sz="0" w:space="0" w:color="auto"/>
        <w:right w:val="none" w:sz="0" w:space="0" w:color="auto"/>
      </w:divBdr>
    </w:div>
    <w:div w:id="334458485">
      <w:bodyDiv w:val="1"/>
      <w:marLeft w:val="0"/>
      <w:marRight w:val="0"/>
      <w:marTop w:val="0"/>
      <w:marBottom w:val="0"/>
      <w:divBdr>
        <w:top w:val="none" w:sz="0" w:space="0" w:color="auto"/>
        <w:left w:val="none" w:sz="0" w:space="0" w:color="auto"/>
        <w:bottom w:val="none" w:sz="0" w:space="0" w:color="auto"/>
        <w:right w:val="none" w:sz="0" w:space="0" w:color="auto"/>
      </w:divBdr>
    </w:div>
    <w:div w:id="385110646">
      <w:bodyDiv w:val="1"/>
      <w:marLeft w:val="0"/>
      <w:marRight w:val="0"/>
      <w:marTop w:val="0"/>
      <w:marBottom w:val="0"/>
      <w:divBdr>
        <w:top w:val="none" w:sz="0" w:space="0" w:color="auto"/>
        <w:left w:val="none" w:sz="0" w:space="0" w:color="auto"/>
        <w:bottom w:val="none" w:sz="0" w:space="0" w:color="auto"/>
        <w:right w:val="none" w:sz="0" w:space="0" w:color="auto"/>
      </w:divBdr>
    </w:div>
    <w:div w:id="462768729">
      <w:bodyDiv w:val="1"/>
      <w:marLeft w:val="0"/>
      <w:marRight w:val="0"/>
      <w:marTop w:val="0"/>
      <w:marBottom w:val="0"/>
      <w:divBdr>
        <w:top w:val="none" w:sz="0" w:space="0" w:color="auto"/>
        <w:left w:val="none" w:sz="0" w:space="0" w:color="auto"/>
        <w:bottom w:val="none" w:sz="0" w:space="0" w:color="auto"/>
        <w:right w:val="none" w:sz="0" w:space="0" w:color="auto"/>
      </w:divBdr>
    </w:div>
    <w:div w:id="511073150">
      <w:bodyDiv w:val="1"/>
      <w:marLeft w:val="0"/>
      <w:marRight w:val="0"/>
      <w:marTop w:val="0"/>
      <w:marBottom w:val="0"/>
      <w:divBdr>
        <w:top w:val="none" w:sz="0" w:space="0" w:color="auto"/>
        <w:left w:val="none" w:sz="0" w:space="0" w:color="auto"/>
        <w:bottom w:val="none" w:sz="0" w:space="0" w:color="auto"/>
        <w:right w:val="none" w:sz="0" w:space="0" w:color="auto"/>
      </w:divBdr>
    </w:div>
    <w:div w:id="641620059">
      <w:bodyDiv w:val="1"/>
      <w:marLeft w:val="0"/>
      <w:marRight w:val="0"/>
      <w:marTop w:val="0"/>
      <w:marBottom w:val="0"/>
      <w:divBdr>
        <w:top w:val="none" w:sz="0" w:space="0" w:color="auto"/>
        <w:left w:val="none" w:sz="0" w:space="0" w:color="auto"/>
        <w:bottom w:val="none" w:sz="0" w:space="0" w:color="auto"/>
        <w:right w:val="none" w:sz="0" w:space="0" w:color="auto"/>
      </w:divBdr>
    </w:div>
    <w:div w:id="799618183">
      <w:bodyDiv w:val="1"/>
      <w:marLeft w:val="0"/>
      <w:marRight w:val="0"/>
      <w:marTop w:val="0"/>
      <w:marBottom w:val="0"/>
      <w:divBdr>
        <w:top w:val="none" w:sz="0" w:space="0" w:color="auto"/>
        <w:left w:val="none" w:sz="0" w:space="0" w:color="auto"/>
        <w:bottom w:val="none" w:sz="0" w:space="0" w:color="auto"/>
        <w:right w:val="none" w:sz="0" w:space="0" w:color="auto"/>
      </w:divBdr>
    </w:div>
    <w:div w:id="811755043">
      <w:bodyDiv w:val="1"/>
      <w:marLeft w:val="0"/>
      <w:marRight w:val="0"/>
      <w:marTop w:val="0"/>
      <w:marBottom w:val="0"/>
      <w:divBdr>
        <w:top w:val="none" w:sz="0" w:space="0" w:color="auto"/>
        <w:left w:val="none" w:sz="0" w:space="0" w:color="auto"/>
        <w:bottom w:val="none" w:sz="0" w:space="0" w:color="auto"/>
        <w:right w:val="none" w:sz="0" w:space="0" w:color="auto"/>
      </w:divBdr>
    </w:div>
    <w:div w:id="831218617">
      <w:bodyDiv w:val="1"/>
      <w:marLeft w:val="0"/>
      <w:marRight w:val="0"/>
      <w:marTop w:val="0"/>
      <w:marBottom w:val="0"/>
      <w:divBdr>
        <w:top w:val="none" w:sz="0" w:space="0" w:color="auto"/>
        <w:left w:val="none" w:sz="0" w:space="0" w:color="auto"/>
        <w:bottom w:val="none" w:sz="0" w:space="0" w:color="auto"/>
        <w:right w:val="none" w:sz="0" w:space="0" w:color="auto"/>
      </w:divBdr>
    </w:div>
    <w:div w:id="876432317">
      <w:bodyDiv w:val="1"/>
      <w:marLeft w:val="0"/>
      <w:marRight w:val="0"/>
      <w:marTop w:val="0"/>
      <w:marBottom w:val="0"/>
      <w:divBdr>
        <w:top w:val="none" w:sz="0" w:space="0" w:color="auto"/>
        <w:left w:val="none" w:sz="0" w:space="0" w:color="auto"/>
        <w:bottom w:val="none" w:sz="0" w:space="0" w:color="auto"/>
        <w:right w:val="none" w:sz="0" w:space="0" w:color="auto"/>
      </w:divBdr>
    </w:div>
    <w:div w:id="885262627">
      <w:bodyDiv w:val="1"/>
      <w:marLeft w:val="0"/>
      <w:marRight w:val="0"/>
      <w:marTop w:val="0"/>
      <w:marBottom w:val="0"/>
      <w:divBdr>
        <w:top w:val="none" w:sz="0" w:space="0" w:color="auto"/>
        <w:left w:val="none" w:sz="0" w:space="0" w:color="auto"/>
        <w:bottom w:val="none" w:sz="0" w:space="0" w:color="auto"/>
        <w:right w:val="none" w:sz="0" w:space="0" w:color="auto"/>
      </w:divBdr>
    </w:div>
    <w:div w:id="1002002469">
      <w:bodyDiv w:val="1"/>
      <w:marLeft w:val="0"/>
      <w:marRight w:val="0"/>
      <w:marTop w:val="0"/>
      <w:marBottom w:val="0"/>
      <w:divBdr>
        <w:top w:val="none" w:sz="0" w:space="0" w:color="auto"/>
        <w:left w:val="none" w:sz="0" w:space="0" w:color="auto"/>
        <w:bottom w:val="none" w:sz="0" w:space="0" w:color="auto"/>
        <w:right w:val="none" w:sz="0" w:space="0" w:color="auto"/>
      </w:divBdr>
    </w:div>
    <w:div w:id="1040518795">
      <w:bodyDiv w:val="1"/>
      <w:marLeft w:val="0"/>
      <w:marRight w:val="0"/>
      <w:marTop w:val="0"/>
      <w:marBottom w:val="0"/>
      <w:divBdr>
        <w:top w:val="none" w:sz="0" w:space="0" w:color="auto"/>
        <w:left w:val="none" w:sz="0" w:space="0" w:color="auto"/>
        <w:bottom w:val="none" w:sz="0" w:space="0" w:color="auto"/>
        <w:right w:val="none" w:sz="0" w:space="0" w:color="auto"/>
      </w:divBdr>
    </w:div>
    <w:div w:id="1049841407">
      <w:bodyDiv w:val="1"/>
      <w:marLeft w:val="0"/>
      <w:marRight w:val="0"/>
      <w:marTop w:val="0"/>
      <w:marBottom w:val="0"/>
      <w:divBdr>
        <w:top w:val="none" w:sz="0" w:space="0" w:color="auto"/>
        <w:left w:val="none" w:sz="0" w:space="0" w:color="auto"/>
        <w:bottom w:val="none" w:sz="0" w:space="0" w:color="auto"/>
        <w:right w:val="none" w:sz="0" w:space="0" w:color="auto"/>
      </w:divBdr>
    </w:div>
    <w:div w:id="1067919610">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24421201">
      <w:bodyDiv w:val="1"/>
      <w:marLeft w:val="0"/>
      <w:marRight w:val="0"/>
      <w:marTop w:val="0"/>
      <w:marBottom w:val="0"/>
      <w:divBdr>
        <w:top w:val="none" w:sz="0" w:space="0" w:color="auto"/>
        <w:left w:val="none" w:sz="0" w:space="0" w:color="auto"/>
        <w:bottom w:val="none" w:sz="0" w:space="0" w:color="auto"/>
        <w:right w:val="none" w:sz="0" w:space="0" w:color="auto"/>
      </w:divBdr>
    </w:div>
    <w:div w:id="1331789434">
      <w:bodyDiv w:val="1"/>
      <w:marLeft w:val="0"/>
      <w:marRight w:val="0"/>
      <w:marTop w:val="0"/>
      <w:marBottom w:val="0"/>
      <w:divBdr>
        <w:top w:val="none" w:sz="0" w:space="0" w:color="auto"/>
        <w:left w:val="none" w:sz="0" w:space="0" w:color="auto"/>
        <w:bottom w:val="none" w:sz="0" w:space="0" w:color="auto"/>
        <w:right w:val="none" w:sz="0" w:space="0" w:color="auto"/>
      </w:divBdr>
    </w:div>
    <w:div w:id="1344235708">
      <w:bodyDiv w:val="1"/>
      <w:marLeft w:val="0"/>
      <w:marRight w:val="0"/>
      <w:marTop w:val="0"/>
      <w:marBottom w:val="0"/>
      <w:divBdr>
        <w:top w:val="none" w:sz="0" w:space="0" w:color="auto"/>
        <w:left w:val="none" w:sz="0" w:space="0" w:color="auto"/>
        <w:bottom w:val="none" w:sz="0" w:space="0" w:color="auto"/>
        <w:right w:val="none" w:sz="0" w:space="0" w:color="auto"/>
      </w:divBdr>
    </w:div>
    <w:div w:id="1344895848">
      <w:bodyDiv w:val="1"/>
      <w:marLeft w:val="0"/>
      <w:marRight w:val="0"/>
      <w:marTop w:val="0"/>
      <w:marBottom w:val="0"/>
      <w:divBdr>
        <w:top w:val="none" w:sz="0" w:space="0" w:color="auto"/>
        <w:left w:val="none" w:sz="0" w:space="0" w:color="auto"/>
        <w:bottom w:val="none" w:sz="0" w:space="0" w:color="auto"/>
        <w:right w:val="none" w:sz="0" w:space="0" w:color="auto"/>
      </w:divBdr>
    </w:div>
    <w:div w:id="1397050143">
      <w:bodyDiv w:val="1"/>
      <w:marLeft w:val="0"/>
      <w:marRight w:val="0"/>
      <w:marTop w:val="0"/>
      <w:marBottom w:val="0"/>
      <w:divBdr>
        <w:top w:val="none" w:sz="0" w:space="0" w:color="auto"/>
        <w:left w:val="none" w:sz="0" w:space="0" w:color="auto"/>
        <w:bottom w:val="none" w:sz="0" w:space="0" w:color="auto"/>
        <w:right w:val="none" w:sz="0" w:space="0" w:color="auto"/>
      </w:divBdr>
    </w:div>
    <w:div w:id="1493370299">
      <w:bodyDiv w:val="1"/>
      <w:marLeft w:val="0"/>
      <w:marRight w:val="0"/>
      <w:marTop w:val="0"/>
      <w:marBottom w:val="0"/>
      <w:divBdr>
        <w:top w:val="none" w:sz="0" w:space="0" w:color="auto"/>
        <w:left w:val="none" w:sz="0" w:space="0" w:color="auto"/>
        <w:bottom w:val="none" w:sz="0" w:space="0" w:color="auto"/>
        <w:right w:val="none" w:sz="0" w:space="0" w:color="auto"/>
      </w:divBdr>
    </w:div>
    <w:div w:id="1647970686">
      <w:bodyDiv w:val="1"/>
      <w:marLeft w:val="0"/>
      <w:marRight w:val="0"/>
      <w:marTop w:val="0"/>
      <w:marBottom w:val="0"/>
      <w:divBdr>
        <w:top w:val="none" w:sz="0" w:space="0" w:color="auto"/>
        <w:left w:val="none" w:sz="0" w:space="0" w:color="auto"/>
        <w:bottom w:val="none" w:sz="0" w:space="0" w:color="auto"/>
        <w:right w:val="none" w:sz="0" w:space="0" w:color="auto"/>
      </w:divBdr>
    </w:div>
    <w:div w:id="1701592033">
      <w:bodyDiv w:val="1"/>
      <w:marLeft w:val="0"/>
      <w:marRight w:val="0"/>
      <w:marTop w:val="0"/>
      <w:marBottom w:val="0"/>
      <w:divBdr>
        <w:top w:val="none" w:sz="0" w:space="0" w:color="auto"/>
        <w:left w:val="none" w:sz="0" w:space="0" w:color="auto"/>
        <w:bottom w:val="none" w:sz="0" w:space="0" w:color="auto"/>
        <w:right w:val="none" w:sz="0" w:space="0" w:color="auto"/>
      </w:divBdr>
    </w:div>
    <w:div w:id="1764839019">
      <w:bodyDiv w:val="1"/>
      <w:marLeft w:val="0"/>
      <w:marRight w:val="0"/>
      <w:marTop w:val="0"/>
      <w:marBottom w:val="0"/>
      <w:divBdr>
        <w:top w:val="none" w:sz="0" w:space="0" w:color="auto"/>
        <w:left w:val="none" w:sz="0" w:space="0" w:color="auto"/>
        <w:bottom w:val="none" w:sz="0" w:space="0" w:color="auto"/>
        <w:right w:val="none" w:sz="0" w:space="0" w:color="auto"/>
      </w:divBdr>
    </w:div>
    <w:div w:id="1939942604">
      <w:bodyDiv w:val="1"/>
      <w:marLeft w:val="0"/>
      <w:marRight w:val="0"/>
      <w:marTop w:val="0"/>
      <w:marBottom w:val="0"/>
      <w:divBdr>
        <w:top w:val="none" w:sz="0" w:space="0" w:color="auto"/>
        <w:left w:val="none" w:sz="0" w:space="0" w:color="auto"/>
        <w:bottom w:val="none" w:sz="0" w:space="0" w:color="auto"/>
        <w:right w:val="none" w:sz="0" w:space="0" w:color="auto"/>
      </w:divBdr>
    </w:div>
    <w:div w:id="212645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cid:image003.png@01D92B2F.B97E26D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keenan@welton.com" TargetMode="External"/><Relationship Id="rId4" Type="http://schemas.openxmlformats.org/officeDocument/2006/relationships/settings" Target="settings.xml"/><Relationship Id="rId9" Type="http://schemas.openxmlformats.org/officeDocument/2006/relationships/image" Target="cid:image006.png@01D92B2F.B97E26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8BDCD-80C1-4D4D-AA7A-0A549E662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dcterms:created xsi:type="dcterms:W3CDTF">2023-01-23T11:00:00Z</dcterms:created>
  <dcterms:modified xsi:type="dcterms:W3CDTF">2023-01-23T11:00:00Z</dcterms:modified>
</cp:coreProperties>
</file>